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F8DFF2" w14:textId="77777777" w:rsidR="00E42FD1" w:rsidRPr="00324401" w:rsidRDefault="00324401">
      <w:pPr>
        <w:pStyle w:val="Heading1"/>
        <w:spacing w:before="0" w:after="120" w:line="275" w:lineRule="auto"/>
        <w:rPr>
          <w:rFonts w:asciiTheme="minorHAnsi" w:eastAsia="Google Sans" w:hAnsiTheme="minorHAnsi" w:cs="Google Sans"/>
        </w:rPr>
      </w:pPr>
      <w:r w:rsidRPr="00324401">
        <w:rPr>
          <w:rFonts w:asciiTheme="minorHAnsi" w:eastAsia="Google Sans" w:hAnsiTheme="minorHAnsi" w:cs="Google Sans"/>
        </w:rPr>
        <w:t>Moduł K: Energia z Biogazu: Kogeneracja (CHP) i Integracja z Siecią Elektroenergetyczną</w:t>
      </w:r>
    </w:p>
    <w:p w14:paraId="4FB433A2"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b/>
        </w:rPr>
        <w:t>Czas trwania:</w:t>
      </w:r>
      <w:r w:rsidRPr="00324401">
        <w:rPr>
          <w:rFonts w:asciiTheme="minorHAnsi" w:eastAsia="Google Sans Text" w:hAnsiTheme="minorHAnsi" w:cs="Google Sans Text"/>
        </w:rPr>
        <w:t xml:space="preserve"> 3 godziny (180 minut)</w:t>
      </w:r>
    </w:p>
    <w:p w14:paraId="4F2DBD45" w14:textId="77777777" w:rsidR="00E42FD1" w:rsidRPr="00324401" w:rsidRDefault="00324401">
      <w:pPr>
        <w:pStyle w:val="Heading2"/>
        <w:spacing w:before="0" w:after="120" w:line="275" w:lineRule="auto"/>
        <w:rPr>
          <w:rFonts w:asciiTheme="minorHAnsi" w:eastAsia="Google Sans" w:hAnsiTheme="minorHAnsi" w:cs="Google Sans"/>
        </w:rPr>
      </w:pPr>
      <w:r w:rsidRPr="00324401">
        <w:rPr>
          <w:rFonts w:asciiTheme="minorHAnsi" w:eastAsia="Google Sans" w:hAnsiTheme="minorHAnsi" w:cs="Google Sans"/>
        </w:rPr>
        <w:t>Część 1: Wykład Interaktywny - Serce Biogazowni: Kogeneracja (CHP) i Integracja z Siecią</w:t>
      </w:r>
    </w:p>
    <w:p w14:paraId="28C2DDBA"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i/>
        </w:rPr>
      </w:pPr>
      <w:r w:rsidRPr="00324401">
        <w:rPr>
          <w:rFonts w:asciiTheme="minorHAnsi" w:eastAsia="Google Sans Text" w:hAnsiTheme="minorHAnsi" w:cs="Google Sans Text"/>
          <w:i/>
        </w:rPr>
        <w:t>(Szacowany czas: ~100 minut)</w:t>
      </w:r>
    </w:p>
    <w:p w14:paraId="56C1045B" w14:textId="77777777" w:rsidR="00E42FD1" w:rsidRPr="00324401" w:rsidRDefault="00324401">
      <w:pPr>
        <w:pStyle w:val="Heading3"/>
        <w:spacing w:before="0" w:after="120" w:line="275" w:lineRule="auto"/>
        <w:rPr>
          <w:rFonts w:asciiTheme="minorHAnsi" w:eastAsia="Google Sans" w:hAnsiTheme="minorHAnsi" w:cs="Google Sans"/>
        </w:rPr>
      </w:pPr>
      <w:r w:rsidRPr="00324401">
        <w:rPr>
          <w:rFonts w:asciiTheme="minorHAnsi" w:eastAsia="Google Sans" w:hAnsiTheme="minorHAnsi" w:cs="Google Sans"/>
        </w:rPr>
        <w:t>Wprowadzenie:</w:t>
      </w:r>
      <w:r w:rsidRPr="00324401">
        <w:rPr>
          <w:rFonts w:asciiTheme="minorHAnsi" w:eastAsia="Google Sans" w:hAnsiTheme="minorHAnsi" w:cs="Google Sans"/>
        </w:rPr>
        <w:t xml:space="preserve"> Kogeneracja jako Ekonomiczny Silnik Biogazowni</w:t>
      </w:r>
    </w:p>
    <w:p w14:paraId="45D10474"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Witam Państwa na module, który dotyczy serca każdej biogazowni rolniczej – konwersji paliwa, które produkujemy, na realne, rynkowe produkty. Sam biogaz, choć jest celem procesu fermentacji, stanowi jedynie no</w:t>
      </w:r>
      <w:r w:rsidRPr="00324401">
        <w:rPr>
          <w:rFonts w:asciiTheme="minorHAnsi" w:eastAsia="Google Sans Text" w:hAnsiTheme="minorHAnsi" w:cs="Google Sans Text"/>
        </w:rPr>
        <w:t>śnik energii. Dopiero jego efektywne zagospodarowanie decyduje o rentowności całego przedsięwzięcia.</w:t>
      </w:r>
    </w:p>
    <w:p w14:paraId="7EA4B778"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 xml:space="preserve">Podstawowym i zdecydowanie najczęstszym sposobem konwersji biogazu w biogazowniach rolniczych jest kogeneracja, znana również jako CHP (z ang. </w:t>
      </w:r>
      <w:r w:rsidRPr="00324401">
        <w:rPr>
          <w:rFonts w:asciiTheme="minorHAnsi" w:eastAsia="Google Sans Text" w:hAnsiTheme="minorHAnsi" w:cs="Google Sans Text"/>
          <w:i/>
        </w:rPr>
        <w:t>Combined Hea</w:t>
      </w:r>
      <w:r w:rsidRPr="00324401">
        <w:rPr>
          <w:rFonts w:asciiTheme="minorHAnsi" w:eastAsia="Google Sans Text" w:hAnsiTheme="minorHAnsi" w:cs="Google Sans Text"/>
          <w:i/>
        </w:rPr>
        <w:t>t and Power</w:t>
      </w:r>
      <w:r w:rsidRPr="00324401">
        <w:rPr>
          <w:rFonts w:asciiTheme="minorHAnsi" w:eastAsia="Google Sans Text" w:hAnsiTheme="minorHAnsi" w:cs="Google Sans Text"/>
        </w:rPr>
        <w:t>) lub Skojarzona Gospodarka Energetyczna.</w:t>
      </w:r>
    </w:p>
    <w:p w14:paraId="101F74ED" w14:textId="77777777" w:rsidR="00E42FD1" w:rsidRPr="00324401" w:rsidRDefault="00324401">
      <w:pPr>
        <w:pStyle w:val="Heading4"/>
        <w:spacing w:before="0" w:after="120" w:line="275" w:lineRule="auto"/>
        <w:rPr>
          <w:rFonts w:asciiTheme="minorHAnsi" w:eastAsia="Google Sans" w:hAnsiTheme="minorHAnsi" w:cs="Google Sans"/>
        </w:rPr>
      </w:pPr>
      <w:r w:rsidRPr="00324401">
        <w:rPr>
          <w:rFonts w:asciiTheme="minorHAnsi" w:eastAsia="Google Sans" w:hAnsiTheme="minorHAnsi" w:cs="Google Sans"/>
        </w:rPr>
        <w:t>Czym jest kogeneracja?</w:t>
      </w:r>
    </w:p>
    <w:p w14:paraId="21D5652B"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To proces technologiczny polegający na jednoczesnej produkcji energii elektrycznej i energii cieplnej w jednym urządzeniu, z jednego paliwa (w naszym przypadku – biogazu).</w:t>
      </w:r>
    </w:p>
    <w:p w14:paraId="1296D786" w14:textId="246836C6" w:rsidR="00E42FD1" w:rsidRPr="00324401" w:rsidRDefault="00324401">
      <w:pPr>
        <w:pStyle w:val="Heading4"/>
        <w:spacing w:before="0" w:after="120" w:line="275" w:lineRule="auto"/>
        <w:rPr>
          <w:rFonts w:asciiTheme="minorHAnsi" w:eastAsia="Google Sans" w:hAnsiTheme="minorHAnsi" w:cs="Google Sans"/>
        </w:rPr>
      </w:pPr>
      <w:r w:rsidRPr="00324401">
        <w:rPr>
          <w:rFonts w:asciiTheme="minorHAnsi" w:eastAsia="Google Sans" w:hAnsiTheme="minorHAnsi" w:cs="Google Sans"/>
        </w:rPr>
        <w:t>Dlaczego</w:t>
      </w:r>
      <w:r w:rsidRPr="00324401">
        <w:rPr>
          <w:rFonts w:asciiTheme="minorHAnsi" w:eastAsia="Google Sans" w:hAnsiTheme="minorHAnsi" w:cs="Google Sans"/>
        </w:rPr>
        <w:t xml:space="preserve"> kogeneracja, a nie </w:t>
      </w:r>
      <w:r w:rsidR="004B583A" w:rsidRPr="00324401">
        <w:rPr>
          <w:rFonts w:asciiTheme="minorHAnsi" w:eastAsia="Google Sans" w:hAnsiTheme="minorHAnsi" w:cs="Google Sans"/>
        </w:rPr>
        <w:t>tylko</w:t>
      </w:r>
      <w:r w:rsidRPr="00324401">
        <w:rPr>
          <w:rFonts w:asciiTheme="minorHAnsi" w:eastAsia="Google Sans" w:hAnsiTheme="minorHAnsi" w:cs="Google Sans"/>
        </w:rPr>
        <w:t xml:space="preserve"> produkcja prądu?</w:t>
      </w:r>
    </w:p>
    <w:p w14:paraId="3FD6EC4C" w14:textId="77777777" w:rsidR="00E42FD1" w:rsidRPr="00324401" w:rsidRDefault="00324401">
      <w:pPr>
        <w:pBdr>
          <w:top w:val="nil"/>
          <w:left w:val="nil"/>
          <w:bottom w:val="nil"/>
          <w:right w:val="nil"/>
          <w:between w:val="nil"/>
        </w:pBdr>
        <w:spacing w:after="120" w:line="275" w:lineRule="auto"/>
        <w:rPr>
          <w:rFonts w:asciiTheme="minorHAnsi" w:eastAsia="Google Sans Text" w:hAnsiTheme="minorHAnsi" w:cs="Google Sans Text"/>
        </w:rPr>
      </w:pPr>
      <w:r w:rsidRPr="00324401">
        <w:rPr>
          <w:rFonts w:asciiTheme="minorHAnsi" w:eastAsia="Google Sans Text" w:hAnsiTheme="minorHAnsi" w:cs="Google Sans Text"/>
        </w:rPr>
        <w:t>Odpowiedź leży w sprawności. Porównajmy dwa podejścia do wyprodukowania tej samej ilości prądu i ciepła:</w:t>
      </w:r>
    </w:p>
    <w:p w14:paraId="3333F76D" w14:textId="77777777" w:rsidR="00E42FD1" w:rsidRPr="00324401" w:rsidRDefault="00324401">
      <w:pPr>
        <w:numPr>
          <w:ilvl w:val="0"/>
          <w:numId w:val="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Produkcja rozdzielona (konwencjonalna):</w:t>
      </w:r>
    </w:p>
    <w:p w14:paraId="6BA7E5F0" w14:textId="77777777" w:rsidR="00E42FD1" w:rsidRPr="00324401" w:rsidRDefault="00324401">
      <w:pPr>
        <w:numPr>
          <w:ilvl w:val="1"/>
          <w:numId w:val="1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 xml:space="preserve">Aby uzyskać 40 jednostek prądu w dużej elektrowni systemowej (np. </w:t>
      </w:r>
      <w:r w:rsidRPr="00324401">
        <w:rPr>
          <w:rFonts w:asciiTheme="minorHAnsi" w:eastAsia="Google Sans Text" w:hAnsiTheme="minorHAnsi" w:cs="Google Sans Text"/>
        </w:rPr>
        <w:t>węglowej) o sprawności 40%, musimy zużyć 100 jednostek energii w paliwie. 60 jednostek to straty, głównie ciepło uciekające przez chłodnie kominowe.</w:t>
      </w:r>
    </w:p>
    <w:p w14:paraId="232D241F" w14:textId="77777777" w:rsidR="00E42FD1" w:rsidRPr="00324401" w:rsidRDefault="00324401">
      <w:pPr>
        <w:numPr>
          <w:ilvl w:val="1"/>
          <w:numId w:val="1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 xml:space="preserve">Aby uzyskać 45 jednostek ciepła w lokalnym kotle (np. gazowym, olejowym) o sprawności 90%, musimy zużyć 50 </w:t>
      </w:r>
      <w:r w:rsidRPr="00324401">
        <w:rPr>
          <w:rFonts w:asciiTheme="minorHAnsi" w:eastAsia="Google Sans Text" w:hAnsiTheme="minorHAnsi" w:cs="Google Sans Text"/>
        </w:rPr>
        <w:t>jednostek energii w paliwie.</w:t>
      </w:r>
    </w:p>
    <w:p w14:paraId="15CF7D86" w14:textId="77777777" w:rsidR="00E42FD1" w:rsidRPr="00324401" w:rsidRDefault="00324401">
      <w:pPr>
        <w:numPr>
          <w:ilvl w:val="1"/>
          <w:numId w:val="1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Łącznie:</w:t>
      </w:r>
      <w:r w:rsidRPr="00324401">
        <w:rPr>
          <w:rFonts w:asciiTheme="minorHAnsi" w:eastAsia="Google Sans Text" w:hAnsiTheme="minorHAnsi" w:cs="Google Sans Text"/>
        </w:rPr>
        <w:t xml:space="preserve"> Zużyliśmy 150 jednostek paliwa, aby uzyskać 85 jednostek użytecznej energii.</w:t>
      </w:r>
    </w:p>
    <w:p w14:paraId="540F435D" w14:textId="77777777" w:rsidR="00E42FD1" w:rsidRPr="00324401" w:rsidRDefault="00324401">
      <w:pPr>
        <w:numPr>
          <w:ilvl w:val="0"/>
          <w:numId w:val="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Produkcja skojarzona (kogeneracja):</w:t>
      </w:r>
    </w:p>
    <w:p w14:paraId="68981DC6" w14:textId="77777777" w:rsidR="00E42FD1" w:rsidRPr="00324401" w:rsidRDefault="00324401">
      <w:pPr>
        <w:numPr>
          <w:ilvl w:val="1"/>
          <w:numId w:val="23"/>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W nowoczesnej jednostce CHP, aby uzyskać 40 jednostek prądu (sprawność elektryczna 40%), zużywamy 100 jed</w:t>
      </w:r>
      <w:r w:rsidRPr="00324401">
        <w:rPr>
          <w:rFonts w:asciiTheme="minorHAnsi" w:eastAsia="Google Sans Text" w:hAnsiTheme="minorHAnsi" w:cs="Google Sans Text"/>
        </w:rPr>
        <w:t>nostek energii w biogazie.</w:t>
      </w:r>
    </w:p>
    <w:p w14:paraId="2EBB30B6" w14:textId="77777777" w:rsidR="00E42FD1" w:rsidRPr="00324401" w:rsidRDefault="00324401">
      <w:pPr>
        <w:numPr>
          <w:ilvl w:val="1"/>
          <w:numId w:val="23"/>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 xml:space="preserve">Jednocześnie, z tego samego procesu, odzyskujemy 45 jednostek ciepła (sprawność </w:t>
      </w:r>
      <w:r w:rsidRPr="00324401">
        <w:rPr>
          <w:rFonts w:asciiTheme="minorHAnsi" w:eastAsia="Google Sans Text" w:hAnsiTheme="minorHAnsi" w:cs="Google Sans Text"/>
        </w:rPr>
        <w:lastRenderedPageBreak/>
        <w:t>cieplna 45%).</w:t>
      </w:r>
    </w:p>
    <w:p w14:paraId="5E4892A7" w14:textId="77777777" w:rsidR="00E42FD1" w:rsidRPr="00324401" w:rsidRDefault="00324401">
      <w:pPr>
        <w:numPr>
          <w:ilvl w:val="1"/>
          <w:numId w:val="23"/>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b/>
        </w:rPr>
        <w:t>Łącznie:</w:t>
      </w:r>
      <w:r w:rsidRPr="00324401">
        <w:rPr>
          <w:rFonts w:asciiTheme="minorHAnsi" w:eastAsia="Google Sans Text" w:hAnsiTheme="minorHAnsi" w:cs="Google Sans Text"/>
        </w:rPr>
        <w:t xml:space="preserve"> Zużyliśmy 100 jednostek paliwa, aby uzyskać 85 jednostek użytecznej energii.</w:t>
      </w:r>
    </w:p>
    <w:p w14:paraId="212EF706" w14:textId="77777777" w:rsidR="00E42FD1" w:rsidRPr="00324401" w:rsidRDefault="00324401">
      <w:pPr>
        <w:pBdr>
          <w:top w:val="nil"/>
          <w:left w:val="nil"/>
          <w:bottom w:val="nil"/>
          <w:right w:val="nil"/>
          <w:between w:val="nil"/>
        </w:pBdr>
        <w:spacing w:before="120" w:after="240" w:line="275" w:lineRule="auto"/>
        <w:rPr>
          <w:rFonts w:asciiTheme="minorHAnsi" w:eastAsia="Google Sans Text" w:hAnsiTheme="minorHAnsi" w:cs="Google Sans Text"/>
        </w:rPr>
      </w:pPr>
      <w:r w:rsidRPr="00324401">
        <w:rPr>
          <w:rFonts w:asciiTheme="minorHAnsi" w:eastAsia="Google Sans Text" w:hAnsiTheme="minorHAnsi" w:cs="Google Sans Text"/>
        </w:rPr>
        <w:t xml:space="preserve">Korzyści są oczywiste: radykalnie wyższa </w:t>
      </w:r>
      <w:r w:rsidRPr="00324401">
        <w:rPr>
          <w:rFonts w:asciiTheme="minorHAnsi" w:eastAsia="Google Sans Text" w:hAnsiTheme="minorHAnsi" w:cs="Google Sans Text"/>
        </w:rPr>
        <w:t>efektywność wykorzystania energii pierwotnej zawartej w paliwie (w naszym przykładzie zużyliśmy o 1/3 mniej paliwa), co przekłada się na mniejsze zużycie zasobów i wyższą rentowność. Właśnie dlatego kogeneracja jest fundamentem ekonomicznym biogazowni.</w:t>
      </w:r>
    </w:p>
    <w:p w14:paraId="21C7594E" w14:textId="77777777" w:rsidR="00E42FD1" w:rsidRPr="00324401" w:rsidRDefault="00324401">
      <w:pPr>
        <w:pStyle w:val="Heading3"/>
        <w:spacing w:before="0" w:after="120" w:line="275" w:lineRule="auto"/>
        <w:rPr>
          <w:rFonts w:asciiTheme="minorHAnsi" w:eastAsia="Google Sans" w:hAnsiTheme="minorHAnsi" w:cs="Google Sans"/>
        </w:rPr>
      </w:pPr>
      <w:r w:rsidRPr="00324401">
        <w:rPr>
          <w:rFonts w:asciiTheme="minorHAnsi" w:eastAsia="Google Sans" w:hAnsiTheme="minorHAnsi" w:cs="Google Sans"/>
        </w:rPr>
        <w:t>Jed</w:t>
      </w:r>
      <w:r w:rsidRPr="00324401">
        <w:rPr>
          <w:rFonts w:asciiTheme="minorHAnsi" w:eastAsia="Google Sans" w:hAnsiTheme="minorHAnsi" w:cs="Google Sans"/>
        </w:rPr>
        <w:t>nostki Kogeneracyjne (CHP)</w:t>
      </w:r>
    </w:p>
    <w:p w14:paraId="77B9BAAF"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Agregat kogeneracyjny (CHP) to zintegrowany zespół urządzeń, którego zadaniem jest przekształcenie energii chemicznej biogazu w energię elektryczną i użyteczne ciepło.</w:t>
      </w:r>
    </w:p>
    <w:p w14:paraId="2B3BB201" w14:textId="77777777" w:rsidR="00E42FD1" w:rsidRPr="00324401" w:rsidRDefault="00324401">
      <w:pPr>
        <w:pStyle w:val="Heading4"/>
        <w:spacing w:before="0" w:after="120" w:line="275" w:lineRule="auto"/>
        <w:rPr>
          <w:rFonts w:asciiTheme="minorHAnsi" w:eastAsia="Google Sans" w:hAnsiTheme="minorHAnsi" w:cs="Google Sans"/>
        </w:rPr>
      </w:pPr>
      <w:r w:rsidRPr="00324401">
        <w:rPr>
          <w:rFonts w:asciiTheme="minorHAnsi" w:eastAsia="Google Sans" w:hAnsiTheme="minorHAnsi" w:cs="Google Sans"/>
        </w:rPr>
        <w:t>Zasada Działania</w:t>
      </w:r>
    </w:p>
    <w:p w14:paraId="2C288F88" w14:textId="77777777" w:rsidR="00E42FD1" w:rsidRPr="00324401" w:rsidRDefault="00324401">
      <w:pPr>
        <w:pBdr>
          <w:top w:val="nil"/>
          <w:left w:val="nil"/>
          <w:bottom w:val="nil"/>
          <w:right w:val="nil"/>
          <w:between w:val="nil"/>
        </w:pBdr>
        <w:spacing w:after="120" w:line="275" w:lineRule="auto"/>
        <w:rPr>
          <w:rFonts w:asciiTheme="minorHAnsi" w:eastAsia="Google Sans Text" w:hAnsiTheme="minorHAnsi" w:cs="Google Sans Text"/>
        </w:rPr>
      </w:pPr>
      <w:r w:rsidRPr="00324401">
        <w:rPr>
          <w:rFonts w:asciiTheme="minorHAnsi" w:eastAsia="Google Sans Text" w:hAnsiTheme="minorHAnsi" w:cs="Google Sans Text"/>
        </w:rPr>
        <w:t>Schemat działania jest następujący:</w:t>
      </w:r>
    </w:p>
    <w:p w14:paraId="2B170C9B" w14:textId="77777777" w:rsidR="00E42FD1" w:rsidRPr="00324401" w:rsidRDefault="00324401">
      <w:pPr>
        <w:numPr>
          <w:ilvl w:val="0"/>
          <w:numId w:val="2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Uzdatniony biogaz (oczyszczony z siarkowodoru i osuszony) jest podawany jako paliwo do silnika spalinowego.</w:t>
      </w:r>
    </w:p>
    <w:p w14:paraId="2E4B52A1" w14:textId="77777777" w:rsidR="00E42FD1" w:rsidRPr="00324401" w:rsidRDefault="00324401">
      <w:pPr>
        <w:numPr>
          <w:ilvl w:val="0"/>
          <w:numId w:val="2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Silnik spalinowy (tłokowy) spala biogaz, napędzając wał korbowy. Wytwarza energię mechaniczną (obrotową).</w:t>
      </w:r>
    </w:p>
    <w:p w14:paraId="1AADA66F" w14:textId="77777777" w:rsidR="00E42FD1" w:rsidRPr="00324401" w:rsidRDefault="00324401">
      <w:pPr>
        <w:numPr>
          <w:ilvl w:val="0"/>
          <w:numId w:val="2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Wał silnika jest połączony z generatorem (</w:t>
      </w:r>
      <w:r w:rsidRPr="00324401">
        <w:rPr>
          <w:rFonts w:asciiTheme="minorHAnsi" w:eastAsia="Google Sans Text" w:hAnsiTheme="minorHAnsi" w:cs="Google Sans Text"/>
        </w:rPr>
        <w:t>prądnicą), który zamienia energię mechaniczną na energię elektryczną (zazwyczaj 400V, 50Hz).</w:t>
      </w:r>
    </w:p>
    <w:p w14:paraId="12D6AFCB" w14:textId="77777777" w:rsidR="00E42FD1" w:rsidRPr="00324401" w:rsidRDefault="00324401">
      <w:pPr>
        <w:numPr>
          <w:ilvl w:val="0"/>
          <w:numId w:val="2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Podczas pracy silnik generuje ogromne ilości ciepła. Zamiast je marnować, odzyskujemy je w dwóch głównych punktach:</w:t>
      </w:r>
    </w:p>
    <w:p w14:paraId="5122AC74" w14:textId="77777777" w:rsidR="00E42FD1" w:rsidRPr="00324401" w:rsidRDefault="00324401">
      <w:pPr>
        <w:numPr>
          <w:ilvl w:val="1"/>
          <w:numId w:val="25"/>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Układ chłodzenia silnika:</w:t>
      </w:r>
      <w:r w:rsidRPr="00324401">
        <w:rPr>
          <w:rFonts w:asciiTheme="minorHAnsi" w:eastAsia="Google Sans Text" w:hAnsiTheme="minorHAnsi" w:cs="Google Sans Text"/>
        </w:rPr>
        <w:t xml:space="preserve"> Ciepło odbierane z bl</w:t>
      </w:r>
      <w:r w:rsidRPr="00324401">
        <w:rPr>
          <w:rFonts w:asciiTheme="minorHAnsi" w:eastAsia="Google Sans Text" w:hAnsiTheme="minorHAnsi" w:cs="Google Sans Text"/>
        </w:rPr>
        <w:t>oku silnika, głowicy i chłodnicy oleju (płyn chłodzący o temp. ok. 80-90°C).</w:t>
      </w:r>
    </w:p>
    <w:p w14:paraId="3A3EB056" w14:textId="77777777" w:rsidR="00E42FD1" w:rsidRPr="00324401" w:rsidRDefault="00324401">
      <w:pPr>
        <w:numPr>
          <w:ilvl w:val="1"/>
          <w:numId w:val="25"/>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Układ wylotowy (spaliny):</w:t>
      </w:r>
      <w:r w:rsidRPr="00324401">
        <w:rPr>
          <w:rFonts w:asciiTheme="minorHAnsi" w:eastAsia="Google Sans Text" w:hAnsiTheme="minorHAnsi" w:cs="Google Sans Text"/>
        </w:rPr>
        <w:t xml:space="preserve"> Gorące spaliny (o temp. &gt;400°C) przepływają przez specjalny wymiennik ciepła, oddając energię.</w:t>
      </w:r>
    </w:p>
    <w:p w14:paraId="11FFB70D" w14:textId="77777777" w:rsidR="00E42FD1" w:rsidRPr="00324401" w:rsidRDefault="00324401">
      <w:pPr>
        <w:numPr>
          <w:ilvl w:val="0"/>
          <w:numId w:val="24"/>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rPr>
        <w:t xml:space="preserve">Odzyskane ciepło (w postaci gorącej wody) jest </w:t>
      </w:r>
      <w:r w:rsidRPr="00324401">
        <w:rPr>
          <w:rFonts w:asciiTheme="minorHAnsi" w:eastAsia="Google Sans Text" w:hAnsiTheme="minorHAnsi" w:cs="Google Sans Text"/>
        </w:rPr>
        <w:t>przekazywane do systemu grzewczego biogazowni lub do odbiorców zewnętrznych.</w:t>
      </w:r>
    </w:p>
    <w:p w14:paraId="1A1E1F1A" w14:textId="77777777" w:rsidR="00E42FD1" w:rsidRPr="00324401" w:rsidRDefault="00324401">
      <w:pPr>
        <w:pStyle w:val="Heading4"/>
        <w:spacing w:before="120" w:after="120" w:line="275" w:lineRule="auto"/>
        <w:rPr>
          <w:rFonts w:asciiTheme="minorHAnsi" w:eastAsia="Google Sans" w:hAnsiTheme="minorHAnsi" w:cs="Google Sans"/>
        </w:rPr>
      </w:pPr>
      <w:r w:rsidRPr="00324401">
        <w:rPr>
          <w:rFonts w:asciiTheme="minorHAnsi" w:eastAsia="Google Sans" w:hAnsiTheme="minorHAnsi" w:cs="Google Sans"/>
        </w:rPr>
        <w:t>Główne Komponenty Jednostki CHP</w:t>
      </w:r>
    </w:p>
    <w:p w14:paraId="109BF6D3" w14:textId="77777777" w:rsidR="00E42FD1" w:rsidRPr="00324401" w:rsidRDefault="00324401">
      <w:pPr>
        <w:pBdr>
          <w:top w:val="nil"/>
          <w:left w:val="nil"/>
          <w:bottom w:val="nil"/>
          <w:right w:val="nil"/>
          <w:between w:val="nil"/>
        </w:pBdr>
        <w:spacing w:after="120" w:line="275" w:lineRule="auto"/>
        <w:rPr>
          <w:rFonts w:asciiTheme="minorHAnsi" w:eastAsia="Google Sans Text" w:hAnsiTheme="minorHAnsi" w:cs="Google Sans Text"/>
        </w:rPr>
      </w:pPr>
      <w:r w:rsidRPr="00324401">
        <w:rPr>
          <w:rFonts w:asciiTheme="minorHAnsi" w:eastAsia="Google Sans Text" w:hAnsiTheme="minorHAnsi" w:cs="Google Sans Text"/>
        </w:rPr>
        <w:t>Nowoczesna jednostka kogeneracyjna to skomplikowane urządzenie. Przyjrzyjmy się kluczowym komponentom, bazując na rozwiązaniach wiodących producent</w:t>
      </w:r>
      <w:r w:rsidRPr="00324401">
        <w:rPr>
          <w:rFonts w:asciiTheme="minorHAnsi" w:eastAsia="Google Sans Text" w:hAnsiTheme="minorHAnsi" w:cs="Google Sans Text"/>
        </w:rPr>
        <w:t>ów (INNIO Jenbacher, Tedom, 2G Energy, MWM/Caterpillar, agriKomp):</w:t>
      </w:r>
    </w:p>
    <w:p w14:paraId="4A58AFFA" w14:textId="77777777" w:rsidR="00E42FD1" w:rsidRPr="00324401" w:rsidRDefault="00324401">
      <w:pPr>
        <w:numPr>
          <w:ilvl w:val="0"/>
          <w:numId w:val="2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Układ Uzdatniania Gazu (tzw. "Gazociąg"):</w:t>
      </w:r>
      <w:r w:rsidRPr="00324401">
        <w:rPr>
          <w:rFonts w:asciiTheme="minorHAnsi" w:eastAsia="Google Sans Text" w:hAnsiTheme="minorHAnsi" w:cs="Google Sans Text"/>
        </w:rPr>
        <w:t xml:space="preserve"> Często jest to moduł zewnętrzny lub zintegrowany z kontenerem CHP. Jest absolutnie kluczowy dla żywotności silnika. Producenci, jak Jenbacher czy M</w:t>
      </w:r>
      <w:r w:rsidRPr="00324401">
        <w:rPr>
          <w:rFonts w:asciiTheme="minorHAnsi" w:eastAsia="Google Sans Text" w:hAnsiTheme="minorHAnsi" w:cs="Google Sans Text"/>
        </w:rPr>
        <w:t>WM, stawiają rygorystyczne wymagania co do jakości gazu.</w:t>
      </w:r>
    </w:p>
    <w:p w14:paraId="4763F3EB" w14:textId="77777777" w:rsidR="00E42FD1" w:rsidRPr="00324401" w:rsidRDefault="00324401">
      <w:pPr>
        <w:numPr>
          <w:ilvl w:val="1"/>
          <w:numId w:val="27"/>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Odsiarczanie:</w:t>
      </w:r>
      <w:r w:rsidRPr="00324401">
        <w:rPr>
          <w:rFonts w:asciiTheme="minorHAnsi" w:eastAsia="Google Sans Text" w:hAnsiTheme="minorHAnsi" w:cs="Google Sans Text"/>
        </w:rPr>
        <w:t xml:space="preserve"> Siarkowodór (H₂S) w obecności wilgoci tworzy kwas siarkowy (H₂SO₄), który powoduje agresywną korozję silnika, wymienników i układu wydechowego. Wymagania producentów CHP są ścisłe: np. </w:t>
      </w:r>
      <w:r w:rsidRPr="00324401">
        <w:rPr>
          <w:rFonts w:asciiTheme="minorHAnsi" w:eastAsia="Google Sans Text" w:hAnsiTheme="minorHAnsi" w:cs="Google Sans Text"/>
        </w:rPr>
        <w:t>Jenbacher wymaga zazwyczaj &lt; 200 ppm H₂S, Tedom &lt; 500 ppm (choć zależy to od modelu i zastosowanych materiałów). Odbywa się to metodami biologicznymi (w fermentorze lub zewnętrznym skruberze) lub chemicznymi (np. filtry z węglem aktywnym).</w:t>
      </w:r>
    </w:p>
    <w:p w14:paraId="60916000" w14:textId="77777777" w:rsidR="00E42FD1" w:rsidRPr="00324401" w:rsidRDefault="00324401">
      <w:pPr>
        <w:numPr>
          <w:ilvl w:val="1"/>
          <w:numId w:val="27"/>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Osuszanie (Chłod</w:t>
      </w:r>
      <w:r w:rsidRPr="00324401">
        <w:rPr>
          <w:rFonts w:asciiTheme="minorHAnsi" w:eastAsia="Google Sans Text" w:hAnsiTheme="minorHAnsi" w:cs="Google Sans Text"/>
          <w:b/>
        </w:rPr>
        <w:t>zenie):</w:t>
      </w:r>
      <w:r w:rsidRPr="00324401">
        <w:rPr>
          <w:rFonts w:asciiTheme="minorHAnsi" w:eastAsia="Google Sans Text" w:hAnsiTheme="minorHAnsi" w:cs="Google Sans Text"/>
        </w:rPr>
        <w:t xml:space="preserve"> Biogaz opuszczający fermentor (np. w 40°C) jest nasycony parą </w:t>
      </w:r>
      <w:r w:rsidRPr="00324401">
        <w:rPr>
          <w:rFonts w:asciiTheme="minorHAnsi" w:eastAsia="Google Sans Text" w:hAnsiTheme="minorHAnsi" w:cs="Google Sans Text"/>
        </w:rPr>
        <w:lastRenderedPageBreak/>
        <w:t>wodną (100% wilgotności). Przed wejściem do silnika gaz musi być schłodzony (np. do 5-10°C) w wymienniku ciepła (chłodnicy), co powoduje wykroplenie (kondensację) większości wody. Osuszo</w:t>
      </w:r>
      <w:r w:rsidRPr="00324401">
        <w:rPr>
          <w:rFonts w:asciiTheme="minorHAnsi" w:eastAsia="Google Sans Text" w:hAnsiTheme="minorHAnsi" w:cs="Google Sans Text"/>
        </w:rPr>
        <w:t>ny gaz zapobiega korozji i podnosi jego wartość opałową (mniej niepalnej pary wodnej trafia do cylindrów).</w:t>
      </w:r>
    </w:p>
    <w:p w14:paraId="441CD3D7" w14:textId="77777777" w:rsidR="00E42FD1" w:rsidRPr="00324401" w:rsidRDefault="00324401">
      <w:pPr>
        <w:numPr>
          <w:ilvl w:val="1"/>
          <w:numId w:val="27"/>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Filtracja cząstek stałych:</w:t>
      </w:r>
      <w:r w:rsidRPr="00324401">
        <w:rPr>
          <w:rFonts w:asciiTheme="minorHAnsi" w:eastAsia="Google Sans Text" w:hAnsiTheme="minorHAnsi" w:cs="Google Sans Text"/>
        </w:rPr>
        <w:t xml:space="preserve"> Usunięcie pyłów, które mogłyby dostać się do silnika.</w:t>
      </w:r>
    </w:p>
    <w:p w14:paraId="20F7B1E7" w14:textId="77777777" w:rsidR="00E42FD1" w:rsidRPr="00324401" w:rsidRDefault="00324401">
      <w:pPr>
        <w:numPr>
          <w:ilvl w:val="1"/>
          <w:numId w:val="27"/>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Usuwanie Siloksanów:</w:t>
      </w:r>
      <w:r w:rsidRPr="00324401">
        <w:rPr>
          <w:rFonts w:asciiTheme="minorHAnsi" w:eastAsia="Google Sans Text" w:hAnsiTheme="minorHAnsi" w:cs="Google Sans Text"/>
        </w:rPr>
        <w:t xml:space="preserve"> (Mniej istotne w typowych biogazowniach rolnicz</w:t>
      </w:r>
      <w:r w:rsidRPr="00324401">
        <w:rPr>
          <w:rFonts w:asciiTheme="minorHAnsi" w:eastAsia="Google Sans Text" w:hAnsiTheme="minorHAnsi" w:cs="Google Sans Text"/>
        </w:rPr>
        <w:t>ych, kluczowe przy osadach ściekowych lub odpadach komunalnych). Siloksany to związki krzemu (np. ze starych kosmetyków, detergentów). Podczas spalania tworzą twardy, ceramiczny nalot (dwutlenek krzemu, SiO₂) na świecach, zaworach i tłokach, prowadząc do s</w:t>
      </w:r>
      <w:r w:rsidRPr="00324401">
        <w:rPr>
          <w:rFonts w:asciiTheme="minorHAnsi" w:eastAsia="Google Sans Text" w:hAnsiTheme="minorHAnsi" w:cs="Google Sans Text"/>
        </w:rPr>
        <w:t>zybkiej destrukcji silnika.</w:t>
      </w:r>
    </w:p>
    <w:p w14:paraId="5970B9BE" w14:textId="77777777" w:rsidR="00E42FD1" w:rsidRPr="00324401" w:rsidRDefault="00324401">
      <w:pPr>
        <w:numPr>
          <w:ilvl w:val="0"/>
          <w:numId w:val="2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Silnik Gazowy (Tłokowy):</w:t>
      </w:r>
      <w:r w:rsidRPr="00324401">
        <w:rPr>
          <w:rFonts w:asciiTheme="minorHAnsi" w:eastAsia="Google Sans Text" w:hAnsiTheme="minorHAnsi" w:cs="Google Sans Text"/>
        </w:rPr>
        <w:t xml:space="preserve"> Serce agregatu. W biogazowniach dominują dwie konstrukcje:</w:t>
      </w:r>
    </w:p>
    <w:p w14:paraId="54928B29" w14:textId="77777777" w:rsidR="00E42FD1" w:rsidRPr="00324401" w:rsidRDefault="00324401">
      <w:pPr>
        <w:numPr>
          <w:ilvl w:val="1"/>
          <w:numId w:val="2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Silniki o zapłonie iskrowym (Silniki Otto):</w:t>
      </w:r>
      <w:r w:rsidRPr="00324401">
        <w:rPr>
          <w:rFonts w:asciiTheme="minorHAnsi" w:eastAsia="Google Sans Text" w:hAnsiTheme="minorHAnsi" w:cs="Google Sans Text"/>
        </w:rPr>
        <w:t xml:space="preserve"> To obecnie standard dla dedykowanych jednostek biogazowych. Są to silniki fabrycznie zaprojektowane </w:t>
      </w:r>
      <w:r w:rsidRPr="00324401">
        <w:rPr>
          <w:rFonts w:asciiTheme="minorHAnsi" w:eastAsia="Google Sans Text" w:hAnsiTheme="minorHAnsi" w:cs="Google Sans Text"/>
        </w:rPr>
        <w:t>do pracy na paliwach gazowych. Wykorzystują zapłon iskrowy (świece zapłonowe). Pracują w cyklu spalania ubogiej mieszanki (lean-burn), co oznacza, że pracują z dużym nadmiarem powietrza (λ &gt; 1.6). Pozwala to na obniżenie temperatury spalania i drastyczną r</w:t>
      </w:r>
      <w:r w:rsidRPr="00324401">
        <w:rPr>
          <w:rFonts w:asciiTheme="minorHAnsi" w:eastAsia="Google Sans Text" w:hAnsiTheme="minorHAnsi" w:cs="Google Sans Text"/>
        </w:rPr>
        <w:t>edukcję emisji tlenków azotu (NOx), co jest kluczowe dla spełnienia norm emisyjnych. Producenci jak INNIO Jenbacher (serie J3, J4, J6), MWM (Caterpillar) (seria TCG 2016, TCG 3016), Tedom (bazujące na silnikach MAN, Liebherr), 2G Energy (agenitor, avus) są</w:t>
      </w:r>
      <w:r w:rsidRPr="00324401">
        <w:rPr>
          <w:rFonts w:asciiTheme="minorHAnsi" w:eastAsia="Google Sans Text" w:hAnsiTheme="minorHAnsi" w:cs="Google Sans Text"/>
        </w:rPr>
        <w:t xml:space="preserve"> liderami w tej technologii.</w:t>
      </w:r>
    </w:p>
    <w:p w14:paraId="14F17545" w14:textId="77777777" w:rsidR="00E42FD1" w:rsidRPr="00324401" w:rsidRDefault="00324401">
      <w:pPr>
        <w:numPr>
          <w:ilvl w:val="1"/>
          <w:numId w:val="2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Silniki o zapłonie samoczynnym (Silniki dwupaliwowe/Diesel-gaz):</w:t>
      </w:r>
      <w:r w:rsidRPr="00324401">
        <w:rPr>
          <w:rFonts w:asciiTheme="minorHAnsi" w:eastAsia="Google Sans Text" w:hAnsiTheme="minorHAnsi" w:cs="Google Sans Text"/>
        </w:rPr>
        <w:t xml:space="preserve"> Są to zmodyfikowane silniki Diesla. Biogaz jest mieszany z powietrzem, a do zapłonu mieszanki konieczny jest wtrysk niewielkiej dawki "pilotażowej" paliwa zapłono</w:t>
      </w:r>
      <w:r w:rsidRPr="00324401">
        <w:rPr>
          <w:rFonts w:asciiTheme="minorHAnsi" w:eastAsia="Google Sans Text" w:hAnsiTheme="minorHAnsi" w:cs="Google Sans Text"/>
        </w:rPr>
        <w:t>wego (np. oleju napędowego lub biodiesla), które zapala się samoczynie pod wpływem sprężania. Wymagają stałego zasilania w paliwo pilotażowe (zwykle 3-8% całkowitej energii). Były popularne, obecnie rzadziej stosowane w nowych, dedykowanych instalacjach ze</w:t>
      </w:r>
      <w:r w:rsidRPr="00324401">
        <w:rPr>
          <w:rFonts w:asciiTheme="minorHAnsi" w:eastAsia="Google Sans Text" w:hAnsiTheme="minorHAnsi" w:cs="Google Sans Text"/>
        </w:rPr>
        <w:t xml:space="preserve"> względu na konieczność drugiego paliwa i wyższe emisje cząstek stałych.</w:t>
      </w:r>
    </w:p>
    <w:p w14:paraId="0E2C9596" w14:textId="77777777" w:rsidR="00E42FD1" w:rsidRPr="00324401" w:rsidRDefault="00324401">
      <w:pPr>
        <w:numPr>
          <w:ilvl w:val="0"/>
          <w:numId w:val="2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Generator (Prądnica):</w:t>
      </w:r>
      <w:r w:rsidRPr="00324401">
        <w:rPr>
          <w:rFonts w:asciiTheme="minorHAnsi" w:eastAsia="Google Sans Text" w:hAnsiTheme="minorHAnsi" w:cs="Google Sans Text"/>
        </w:rPr>
        <w:t xml:space="preserve"> Najczęściej prądnica synchroniczna, sprzężona bezpośrednio z wałem silnika, produkująca prąd o parametrach sieciowych (400V, 50Hz).</w:t>
      </w:r>
    </w:p>
    <w:p w14:paraId="5F7353D6" w14:textId="77777777" w:rsidR="00E42FD1" w:rsidRPr="00324401" w:rsidRDefault="00324401">
      <w:pPr>
        <w:numPr>
          <w:ilvl w:val="0"/>
          <w:numId w:val="2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System Wymienników Ciepła:</w:t>
      </w:r>
    </w:p>
    <w:p w14:paraId="6664295B" w14:textId="77777777" w:rsidR="00E42FD1" w:rsidRPr="00324401" w:rsidRDefault="00324401">
      <w:pPr>
        <w:numPr>
          <w:ilvl w:val="1"/>
          <w:numId w:val="29"/>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Pierwszy stopień (HT - High Temperature):</w:t>
      </w:r>
      <w:r w:rsidRPr="00324401">
        <w:rPr>
          <w:rFonts w:asciiTheme="minorHAnsi" w:eastAsia="Google Sans Text" w:hAnsiTheme="minorHAnsi" w:cs="Google Sans Text"/>
        </w:rPr>
        <w:t xml:space="preserve"> Układ chłodzenia bloku silnika i głowicy. Woda o temp. ~85-90°C. Jest to ciepło najbardziej wartościowe i najłatwiejsze do wykorzystania. Zazwyczaj stosuje się tu wymiennik płytowy.</w:t>
      </w:r>
    </w:p>
    <w:p w14:paraId="2B93887D" w14:textId="77777777" w:rsidR="00E42FD1" w:rsidRPr="00324401" w:rsidRDefault="00324401">
      <w:pPr>
        <w:numPr>
          <w:ilvl w:val="1"/>
          <w:numId w:val="29"/>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Drugi stopień (LT - Low Temperat</w:t>
      </w:r>
      <w:r w:rsidRPr="00324401">
        <w:rPr>
          <w:rFonts w:asciiTheme="minorHAnsi" w:eastAsia="Google Sans Text" w:hAnsiTheme="minorHAnsi" w:cs="Google Sans Text"/>
          <w:b/>
        </w:rPr>
        <w:t>ure):</w:t>
      </w:r>
      <w:r w:rsidRPr="00324401">
        <w:rPr>
          <w:rFonts w:asciiTheme="minorHAnsi" w:eastAsia="Google Sans Text" w:hAnsiTheme="minorHAnsi" w:cs="Google Sans Text"/>
        </w:rPr>
        <w:t xml:space="preserve"> Układ chłodzenia międzystopniowego sprężarki (w silnikach doładowanych) i chłodnica oleju. Woda o temp. ~40-50°C. Ciepło o niższej temperaturze, trudniejsze do wykorzystania (np. do podgrzewania wstępnego).</w:t>
      </w:r>
    </w:p>
    <w:p w14:paraId="55E7E39F" w14:textId="77777777" w:rsidR="00E42FD1" w:rsidRPr="00324401" w:rsidRDefault="00324401">
      <w:pPr>
        <w:numPr>
          <w:ilvl w:val="1"/>
          <w:numId w:val="29"/>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Trzeci stopień (Spaliny):</w:t>
      </w:r>
      <w:r w:rsidRPr="00324401">
        <w:rPr>
          <w:rFonts w:asciiTheme="minorHAnsi" w:eastAsia="Google Sans Text" w:hAnsiTheme="minorHAnsi" w:cs="Google Sans Text"/>
        </w:rPr>
        <w:t xml:space="preserve"> Gorące spaliny (o</w:t>
      </w:r>
      <w:r w:rsidRPr="00324401">
        <w:rPr>
          <w:rFonts w:asciiTheme="minorHAnsi" w:eastAsia="Google Sans Text" w:hAnsiTheme="minorHAnsi" w:cs="Google Sans Text"/>
        </w:rPr>
        <w:t xml:space="preserve"> temp. 400-500°C) przepływają przez wymiennik płaszczowo-rurowy (spalinowy), podgrzewając wodę np. z 70°C do 88°C. Spaliny na wylocie muszą mieć temp. powyżej punktu rosy kwasu siarkowego (zazwyczaj &gt;120-150°C), aby uniknąć kondensacji i korozji układu wyd</w:t>
      </w:r>
      <w:r w:rsidRPr="00324401">
        <w:rPr>
          <w:rFonts w:asciiTheme="minorHAnsi" w:eastAsia="Google Sans Text" w:hAnsiTheme="minorHAnsi" w:cs="Google Sans Text"/>
        </w:rPr>
        <w:t>echowego.</w:t>
      </w:r>
    </w:p>
    <w:p w14:paraId="3C143E27" w14:textId="77777777" w:rsidR="00E42FD1" w:rsidRPr="00324401" w:rsidRDefault="00324401">
      <w:pPr>
        <w:numPr>
          <w:ilvl w:val="0"/>
          <w:numId w:val="2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System Sterowania i Automatyki:</w:t>
      </w:r>
      <w:r w:rsidRPr="00324401">
        <w:rPr>
          <w:rFonts w:asciiTheme="minorHAnsi" w:eastAsia="Google Sans Text" w:hAnsiTheme="minorHAnsi" w:cs="Google Sans Text"/>
        </w:rPr>
        <w:t xml:space="preserve"> Mózg jednostki. Nowoczesny panel sterowania (np. Jenbacher DIA.NE XT, Tedom ProCon 2.0, MWM TEM) monitoruje setki parametrów pracy w czasie rzeczywistym (temperatury, ciśnienia, obroty, skład gazu, parametry sieci)</w:t>
      </w:r>
      <w:r w:rsidRPr="00324401">
        <w:rPr>
          <w:rFonts w:asciiTheme="minorHAnsi" w:eastAsia="Google Sans Text" w:hAnsiTheme="minorHAnsi" w:cs="Google Sans Text"/>
        </w:rPr>
        <w:t xml:space="preserve">. </w:t>
      </w:r>
      <w:r w:rsidRPr="00324401">
        <w:rPr>
          <w:rFonts w:asciiTheme="minorHAnsi" w:eastAsia="Google Sans Text" w:hAnsiTheme="minorHAnsi" w:cs="Google Sans Text"/>
        </w:rPr>
        <w:lastRenderedPageBreak/>
        <w:t>Automatycznie reguluje moc silnika w zależności od ilości gazu w magazynie (na podstawie pomiaru ciśnienia), synchronizuje generator z siecią elektroenergetyczną i zarządza systemami bezpieczeństwa (wyłączenie w razie awarii, przegrzania, zaniku sieci, n</w:t>
      </w:r>
      <w:r w:rsidRPr="00324401">
        <w:rPr>
          <w:rFonts w:asciiTheme="minorHAnsi" w:eastAsia="Google Sans Text" w:hAnsiTheme="minorHAnsi" w:cs="Google Sans Text"/>
        </w:rPr>
        <w:t>iskiej jakości gazu).</w:t>
      </w:r>
    </w:p>
    <w:p w14:paraId="6FA12D84" w14:textId="77777777" w:rsidR="00E42FD1" w:rsidRPr="00324401" w:rsidRDefault="00324401">
      <w:pPr>
        <w:numPr>
          <w:ilvl w:val="0"/>
          <w:numId w:val="26"/>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b/>
        </w:rPr>
        <w:t>Układ Wylotowy:</w:t>
      </w:r>
      <w:r w:rsidRPr="00324401">
        <w:rPr>
          <w:rFonts w:asciiTheme="minorHAnsi" w:eastAsia="Google Sans Text" w:hAnsiTheme="minorHAnsi" w:cs="Google Sans Text"/>
        </w:rPr>
        <w:t xml:space="preserve"> Tłumik hałasu (kluczowy dla spełnienia norm akustycznych) i komin do odprowadzania oczyszczonych spalin.</w:t>
      </w:r>
    </w:p>
    <w:p w14:paraId="155C0882" w14:textId="77777777" w:rsidR="00E42FD1" w:rsidRPr="00324401" w:rsidRDefault="00324401">
      <w:pPr>
        <w:pStyle w:val="Heading4"/>
        <w:spacing w:before="120" w:after="120" w:line="275" w:lineRule="auto"/>
        <w:rPr>
          <w:rFonts w:asciiTheme="minorHAnsi" w:eastAsia="Google Sans" w:hAnsiTheme="minorHAnsi" w:cs="Google Sans"/>
        </w:rPr>
      </w:pPr>
      <w:r w:rsidRPr="00324401">
        <w:rPr>
          <w:rFonts w:asciiTheme="minorHAnsi" w:eastAsia="Google Sans" w:hAnsiTheme="minorHAnsi" w:cs="Google Sans"/>
        </w:rPr>
        <w:t>Podstawowe Parametry Techniczne</w:t>
      </w:r>
    </w:p>
    <w:p w14:paraId="06BF17E8" w14:textId="77777777" w:rsidR="00E42FD1" w:rsidRPr="00324401" w:rsidRDefault="00324401">
      <w:pPr>
        <w:pBdr>
          <w:top w:val="nil"/>
          <w:left w:val="nil"/>
          <w:bottom w:val="nil"/>
          <w:right w:val="nil"/>
          <w:between w:val="nil"/>
        </w:pBdr>
        <w:spacing w:after="120" w:line="275" w:lineRule="auto"/>
        <w:rPr>
          <w:rFonts w:asciiTheme="minorHAnsi" w:eastAsia="Google Sans Text" w:hAnsiTheme="minorHAnsi" w:cs="Google Sans Text"/>
        </w:rPr>
      </w:pPr>
      <w:r w:rsidRPr="00324401">
        <w:rPr>
          <w:rFonts w:asciiTheme="minorHAnsi" w:eastAsia="Google Sans Text" w:hAnsiTheme="minorHAnsi" w:cs="Google Sans Text"/>
        </w:rPr>
        <w:t xml:space="preserve">Analizując karty katalogowe wiodących producentów, widzimy powtarzające się </w:t>
      </w:r>
      <w:r w:rsidRPr="00324401">
        <w:rPr>
          <w:rFonts w:asciiTheme="minorHAnsi" w:eastAsia="Google Sans Text" w:hAnsiTheme="minorHAnsi" w:cs="Google Sans Text"/>
        </w:rPr>
        <w:t>kluczowe parametry:</w:t>
      </w:r>
    </w:p>
    <w:p w14:paraId="6C04C6FE" w14:textId="3D9079CC" w:rsidR="00E42FD1" w:rsidRPr="00324401" w:rsidRDefault="00324401">
      <w:pPr>
        <w:numPr>
          <w:ilvl w:val="0"/>
          <w:numId w:val="3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Moc Elektryczna  [kWel]:</w:t>
      </w:r>
      <w:r w:rsidRPr="00324401">
        <w:rPr>
          <w:rFonts w:asciiTheme="minorHAnsi" w:eastAsia="Google Sans Text" w:hAnsiTheme="minorHAnsi" w:cs="Google Sans Text"/>
        </w:rPr>
        <w:t xml:space="preserve"> Definiuje wielkość agregatu (np. 500 kWel, 1000 kWel).</w:t>
      </w:r>
    </w:p>
    <w:p w14:paraId="0E52E275" w14:textId="065F4E36" w:rsidR="00E42FD1" w:rsidRPr="00324401" w:rsidRDefault="00324401">
      <w:pPr>
        <w:numPr>
          <w:ilvl w:val="0"/>
          <w:numId w:val="3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Moc Cieplna [kWth]:</w:t>
      </w:r>
      <w:r w:rsidRPr="00324401">
        <w:rPr>
          <w:rFonts w:asciiTheme="minorHAnsi" w:eastAsia="Google Sans Text" w:hAnsiTheme="minorHAnsi" w:cs="Google Sans Text"/>
        </w:rPr>
        <w:t xml:space="preserve"> Ilość ciepła możliwa do odzyskania przy pełnej mocy.</w:t>
      </w:r>
    </w:p>
    <w:p w14:paraId="1CC65070" w14:textId="6534582F" w:rsidR="00E42FD1" w:rsidRPr="00324401" w:rsidRDefault="00324401">
      <w:pPr>
        <w:numPr>
          <w:ilvl w:val="0"/>
          <w:numId w:val="3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Sprawność Elektryczna [%]:</w:t>
      </w:r>
      <w:r w:rsidRPr="00324401">
        <w:rPr>
          <w:rFonts w:asciiTheme="minorHAnsi" w:eastAsia="Google Sans Text" w:hAnsiTheme="minorHAnsi" w:cs="Google Sans Text"/>
        </w:rPr>
        <w:t xml:space="preserve"> Stosunek mocy elektrycznej do mocy chemicznej paliwa. Kl</w:t>
      </w:r>
      <w:r w:rsidRPr="00324401">
        <w:rPr>
          <w:rFonts w:asciiTheme="minorHAnsi" w:eastAsia="Google Sans Text" w:hAnsiTheme="minorHAnsi" w:cs="Google Sans Text"/>
        </w:rPr>
        <w:t>uczowy wskaźnik rentowności. Dla nowoczesnych jednostek (np. Jenbacher Serii 4 lub MWM TCG 3016) sięga 40-44%.</w:t>
      </w:r>
    </w:p>
    <w:p w14:paraId="7F08996C" w14:textId="740428FA" w:rsidR="00E42FD1" w:rsidRPr="00324401" w:rsidRDefault="00324401">
      <w:pPr>
        <w:numPr>
          <w:ilvl w:val="0"/>
          <w:numId w:val="3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Sprawność Cieplna [%]:</w:t>
      </w:r>
      <w:r w:rsidRPr="00324401">
        <w:rPr>
          <w:rFonts w:asciiTheme="minorHAnsi" w:eastAsia="Google Sans Text" w:hAnsiTheme="minorHAnsi" w:cs="Google Sans Text"/>
        </w:rPr>
        <w:t xml:space="preserve"> Stosunek mocy cieplnej do mocy paliwa. Zazwyczaj 42-48%.</w:t>
      </w:r>
    </w:p>
    <w:p w14:paraId="07F2C20B" w14:textId="10B25168" w:rsidR="00E42FD1" w:rsidRPr="00324401" w:rsidRDefault="00324401">
      <w:pPr>
        <w:numPr>
          <w:ilvl w:val="0"/>
          <w:numId w:val="3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Sprawność Całkowita [%]:</w:t>
      </w:r>
      <w:r w:rsidRPr="00324401">
        <w:rPr>
          <w:rFonts w:asciiTheme="minorHAnsi" w:eastAsia="Google Sans Text" w:hAnsiTheme="minorHAnsi" w:cs="Google Sans Text"/>
        </w:rPr>
        <w:t xml:space="preserve"> Suma sprawności elektrycznej i cieplnej.</w:t>
      </w:r>
      <w:r w:rsidRPr="00324401">
        <w:rPr>
          <w:rFonts w:asciiTheme="minorHAnsi" w:eastAsia="Google Sans Text" w:hAnsiTheme="minorHAnsi" w:cs="Google Sans Text"/>
        </w:rPr>
        <w:t xml:space="preserve"> Osiąga 85-92%.</w:t>
      </w:r>
    </w:p>
    <w:p w14:paraId="070AD294" w14:textId="77777777" w:rsidR="00E42FD1" w:rsidRPr="00324401" w:rsidRDefault="00324401">
      <w:pPr>
        <w:numPr>
          <w:ilvl w:val="0"/>
          <w:numId w:val="3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Zużycie biogazu [Nm³/h]:</w:t>
      </w:r>
      <w:r w:rsidRPr="00324401">
        <w:rPr>
          <w:rFonts w:asciiTheme="minorHAnsi" w:eastAsia="Google Sans Text" w:hAnsiTheme="minorHAnsi" w:cs="Google Sans Text"/>
        </w:rPr>
        <w:t xml:space="preserve"> Zależy od mocy i wartości opałowej gazu.</w:t>
      </w:r>
    </w:p>
    <w:p w14:paraId="453D1C2E" w14:textId="77777777" w:rsidR="00E42FD1" w:rsidRPr="00324401" w:rsidRDefault="00324401">
      <w:pPr>
        <w:numPr>
          <w:ilvl w:val="0"/>
          <w:numId w:val="30"/>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b/>
        </w:rPr>
        <w:t>Wymagana jakość gazu:</w:t>
      </w:r>
      <w:r w:rsidRPr="00324401">
        <w:rPr>
          <w:rFonts w:asciiTheme="minorHAnsi" w:eastAsia="Google Sans Text" w:hAnsiTheme="minorHAnsi" w:cs="Google Sans Text"/>
        </w:rPr>
        <w:t xml:space="preserve"> Producenci precyzyjnie określają minimalną zawartość CH₄ (np. &gt;50%), maksymalną H₂S (np. &lt;200 ppm), zawartość siloksanów, wody itp. Niespełnienie tych n</w:t>
      </w:r>
      <w:r w:rsidRPr="00324401">
        <w:rPr>
          <w:rFonts w:asciiTheme="minorHAnsi" w:eastAsia="Google Sans Text" w:hAnsiTheme="minorHAnsi" w:cs="Google Sans Text"/>
        </w:rPr>
        <w:t>orm grozi utratą gwarancji.</w:t>
      </w:r>
    </w:p>
    <w:p w14:paraId="546EF530" w14:textId="77777777" w:rsidR="00E42FD1" w:rsidRPr="00324401" w:rsidRDefault="00324401">
      <w:pPr>
        <w:pBdr>
          <w:top w:val="nil"/>
          <w:left w:val="nil"/>
          <w:bottom w:val="nil"/>
          <w:right w:val="nil"/>
          <w:between w:val="nil"/>
        </w:pBdr>
        <w:spacing w:before="120" w:line="275" w:lineRule="auto"/>
        <w:rPr>
          <w:rFonts w:asciiTheme="minorHAnsi" w:eastAsia="Google Sans Text" w:hAnsiTheme="minorHAnsi" w:cs="Google Sans Text"/>
        </w:rPr>
      </w:pPr>
      <w:r w:rsidRPr="00324401">
        <w:rPr>
          <w:rFonts w:asciiTheme="minorHAnsi" w:eastAsia="Google Sans Text" w:hAnsiTheme="minorHAnsi" w:cs="Google Sans Text"/>
        </w:rPr>
        <w:t>Tabela 1: Przykładowe parametry katalogowe jednostek CHP na biogaz (dane producentów)</w:t>
      </w:r>
    </w:p>
    <w:p w14:paraId="3FC12288"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(Wartości orientacyjne, zależne od konfiguracji i jakości gazu, np. 60% CH₄)</w:t>
      </w:r>
    </w:p>
    <w:p w14:paraId="5ACAB393" w14:textId="77777777" w:rsidR="004B583A" w:rsidRPr="00324401" w:rsidRDefault="004B583A">
      <w:pPr>
        <w:pBdr>
          <w:top w:val="nil"/>
          <w:left w:val="nil"/>
          <w:bottom w:val="nil"/>
          <w:right w:val="nil"/>
          <w:between w:val="nil"/>
        </w:pBdr>
        <w:spacing w:line="275" w:lineRule="auto"/>
        <w:rPr>
          <w:rFonts w:asciiTheme="minorHAnsi" w:eastAsia="Google Sans Text" w:hAnsiTheme="minorHAnsi" w:cs="Google Sans Text"/>
        </w:rPr>
      </w:pPr>
    </w:p>
    <w:p w14:paraId="22750D2D" w14:textId="77777777" w:rsidR="004B583A" w:rsidRPr="00324401" w:rsidRDefault="004B583A">
      <w:pPr>
        <w:pBdr>
          <w:top w:val="nil"/>
          <w:left w:val="nil"/>
          <w:bottom w:val="nil"/>
          <w:right w:val="nil"/>
          <w:between w:val="nil"/>
        </w:pBdr>
        <w:spacing w:line="275" w:lineRule="auto"/>
        <w:rPr>
          <w:rFonts w:asciiTheme="minorHAnsi" w:eastAsia="Google Sans Text" w:hAnsiTheme="minorHAnsi" w:cs="Google Sans Text"/>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38"/>
        <w:gridCol w:w="1337"/>
        <w:gridCol w:w="1337"/>
        <w:gridCol w:w="1337"/>
        <w:gridCol w:w="1337"/>
        <w:gridCol w:w="1337"/>
        <w:gridCol w:w="1337"/>
      </w:tblGrid>
      <w:tr w:rsidR="00324401" w:rsidRPr="00324401" w14:paraId="1B1184D9" w14:textId="77777777">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F568B0D" w14:textId="77777777" w:rsidR="00E42FD1" w:rsidRPr="00324401" w:rsidRDefault="00324401">
            <w:pPr>
              <w:pBdr>
                <w:top w:val="nil"/>
                <w:left w:val="nil"/>
                <w:bottom w:val="nil"/>
                <w:right w:val="nil"/>
                <w:between w:val="nil"/>
              </w:pBdr>
              <w:spacing w:before="120" w:after="120" w:line="275" w:lineRule="auto"/>
              <w:rPr>
                <w:rFonts w:asciiTheme="minorHAnsi" w:eastAsia="Google Sans Text" w:hAnsiTheme="minorHAnsi" w:cs="Google Sans Text"/>
                <w:b/>
              </w:rPr>
            </w:pPr>
            <w:r w:rsidRPr="00324401">
              <w:rPr>
                <w:rFonts w:asciiTheme="minorHAnsi" w:eastAsia="Google Sans Text" w:hAnsiTheme="minorHAnsi" w:cs="Google Sans Text"/>
                <w:b/>
              </w:rPr>
              <w:t>Producent / Model</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6217525" w14:textId="77777777" w:rsidR="00E42FD1" w:rsidRPr="00324401" w:rsidRDefault="00324401">
            <w:pPr>
              <w:pBdr>
                <w:top w:val="nil"/>
                <w:left w:val="nil"/>
                <w:bottom w:val="nil"/>
                <w:right w:val="nil"/>
                <w:between w:val="nil"/>
              </w:pBdr>
              <w:spacing w:before="120" w:after="120" w:line="275" w:lineRule="auto"/>
              <w:rPr>
                <w:rFonts w:asciiTheme="minorHAnsi" w:eastAsia="Google Sans Text" w:hAnsiTheme="minorHAnsi" w:cs="Google Sans Text"/>
                <w:b/>
              </w:rPr>
            </w:pPr>
            <w:r w:rsidRPr="00324401">
              <w:rPr>
                <w:rFonts w:asciiTheme="minorHAnsi" w:eastAsia="Google Sans Text" w:hAnsiTheme="minorHAnsi" w:cs="Google Sans Text"/>
                <w:b/>
              </w:rPr>
              <w:t>Typ Silnika</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C97FD5C" w14:textId="77777777" w:rsidR="00E42FD1" w:rsidRPr="00324401" w:rsidRDefault="00324401">
            <w:pPr>
              <w:pBdr>
                <w:top w:val="nil"/>
                <w:left w:val="nil"/>
                <w:bottom w:val="nil"/>
                <w:right w:val="nil"/>
                <w:between w:val="nil"/>
              </w:pBdr>
              <w:spacing w:before="120" w:after="120" w:line="275" w:lineRule="auto"/>
              <w:rPr>
                <w:rFonts w:asciiTheme="minorHAnsi" w:eastAsia="Google Sans Text" w:hAnsiTheme="minorHAnsi" w:cs="Google Sans Text"/>
                <w:b/>
              </w:rPr>
            </w:pPr>
            <w:r w:rsidRPr="00324401">
              <w:rPr>
                <w:rFonts w:asciiTheme="minorHAnsi" w:eastAsia="Google Sans Text" w:hAnsiTheme="minorHAnsi" w:cs="Google Sans Text"/>
                <w:b/>
              </w:rPr>
              <w:t>Moc Elektryczna (kWel)</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DDF81FF" w14:textId="77777777" w:rsidR="00E42FD1" w:rsidRPr="00324401" w:rsidRDefault="00324401">
            <w:pPr>
              <w:pBdr>
                <w:top w:val="nil"/>
                <w:left w:val="nil"/>
                <w:bottom w:val="nil"/>
                <w:right w:val="nil"/>
                <w:between w:val="nil"/>
              </w:pBdr>
              <w:spacing w:before="120" w:after="120" w:line="275" w:lineRule="auto"/>
              <w:rPr>
                <w:rFonts w:asciiTheme="minorHAnsi" w:eastAsia="Google Sans Text" w:hAnsiTheme="minorHAnsi" w:cs="Google Sans Text"/>
                <w:b/>
              </w:rPr>
            </w:pPr>
            <w:r w:rsidRPr="00324401">
              <w:rPr>
                <w:rFonts w:asciiTheme="minorHAnsi" w:eastAsia="Google Sans Text" w:hAnsiTheme="minorHAnsi" w:cs="Google Sans Text"/>
                <w:b/>
              </w:rPr>
              <w:t xml:space="preserve">Moc </w:t>
            </w:r>
            <w:r w:rsidRPr="00324401">
              <w:rPr>
                <w:rFonts w:asciiTheme="minorHAnsi" w:eastAsia="Google Sans Text" w:hAnsiTheme="minorHAnsi" w:cs="Google Sans Text"/>
                <w:b/>
              </w:rPr>
              <w:t>Cieplna (kWth)</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28AE9BA" w14:textId="77777777" w:rsidR="00E42FD1" w:rsidRPr="00324401" w:rsidRDefault="00324401">
            <w:pPr>
              <w:pBdr>
                <w:top w:val="nil"/>
                <w:left w:val="nil"/>
                <w:bottom w:val="nil"/>
                <w:right w:val="nil"/>
                <w:between w:val="nil"/>
              </w:pBdr>
              <w:spacing w:before="120" w:after="120" w:line="275" w:lineRule="auto"/>
              <w:rPr>
                <w:rFonts w:asciiTheme="minorHAnsi" w:eastAsia="Google Sans Text" w:hAnsiTheme="minorHAnsi" w:cs="Google Sans Text"/>
                <w:b/>
              </w:rPr>
            </w:pPr>
            <w:r w:rsidRPr="00324401">
              <w:rPr>
                <w:rFonts w:asciiTheme="minorHAnsi" w:eastAsia="Google Sans Text" w:hAnsiTheme="minorHAnsi" w:cs="Google Sans Text"/>
                <w:b/>
              </w:rPr>
              <w:t>Sprawność Elektryczna</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6357976" w14:textId="77777777" w:rsidR="00E42FD1" w:rsidRPr="00324401" w:rsidRDefault="00324401">
            <w:pPr>
              <w:pBdr>
                <w:top w:val="nil"/>
                <w:left w:val="nil"/>
                <w:bottom w:val="nil"/>
                <w:right w:val="nil"/>
                <w:between w:val="nil"/>
              </w:pBdr>
              <w:spacing w:before="120" w:after="120" w:line="275" w:lineRule="auto"/>
              <w:rPr>
                <w:rFonts w:asciiTheme="minorHAnsi" w:eastAsia="Google Sans Text" w:hAnsiTheme="minorHAnsi" w:cs="Google Sans Text"/>
                <w:b/>
              </w:rPr>
            </w:pPr>
            <w:r w:rsidRPr="00324401">
              <w:rPr>
                <w:rFonts w:asciiTheme="minorHAnsi" w:eastAsia="Google Sans Text" w:hAnsiTheme="minorHAnsi" w:cs="Google Sans Text"/>
                <w:b/>
              </w:rPr>
              <w:t>Sprawność Cieplna</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C816521" w14:textId="77777777" w:rsidR="00E42FD1" w:rsidRPr="00324401" w:rsidRDefault="00324401">
            <w:pPr>
              <w:pBdr>
                <w:top w:val="nil"/>
                <w:left w:val="nil"/>
                <w:bottom w:val="nil"/>
                <w:right w:val="nil"/>
                <w:between w:val="nil"/>
              </w:pBdr>
              <w:spacing w:before="120" w:after="120" w:line="275" w:lineRule="auto"/>
              <w:rPr>
                <w:rFonts w:asciiTheme="minorHAnsi" w:eastAsia="Google Sans Text" w:hAnsiTheme="minorHAnsi" w:cs="Google Sans Text"/>
                <w:b/>
              </w:rPr>
            </w:pPr>
            <w:r w:rsidRPr="00324401">
              <w:rPr>
                <w:rFonts w:asciiTheme="minorHAnsi" w:eastAsia="Google Sans Text" w:hAnsiTheme="minorHAnsi" w:cs="Google Sans Text"/>
                <w:b/>
              </w:rPr>
              <w:t>Sprawność Całkowita</w:t>
            </w:r>
          </w:p>
        </w:tc>
      </w:tr>
      <w:tr w:rsidR="00324401" w:rsidRPr="00324401" w14:paraId="642B9C02" w14:textId="77777777">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A2234DA"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Tedom Cento 500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D5255A0"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Otto (lean-burn)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AABD170"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500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C8E8842"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~547</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30E2C43"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~40.0%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1C4C98D"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~43.8%</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574FD71"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~83.8%</w:t>
            </w:r>
          </w:p>
        </w:tc>
      </w:tr>
      <w:tr w:rsidR="00324401" w:rsidRPr="00324401" w14:paraId="2C9894A6" w14:textId="77777777">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80CEF43"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INNIO Jenbacher J416</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343C4D1"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Otto (lean-burn)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9E259EB"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1184</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BA07DF6"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~1225</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70D2E4B"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~43.1%</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FB5CAB0"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~44.6%</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C2D9ACD"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~87.7%</w:t>
            </w:r>
          </w:p>
        </w:tc>
      </w:tr>
      <w:tr w:rsidR="00324401" w:rsidRPr="00324401" w14:paraId="6394D796" w14:textId="77777777">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48B669D"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2G Energy agenitor 406</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2EC8BB9"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Otto (lean-burn)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7B90741"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250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0583AA8"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~280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3CF040B"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~40.0%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7DAD8A4"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~44.8%</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B5B95B"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~84.8%</w:t>
            </w:r>
          </w:p>
        </w:tc>
      </w:tr>
      <w:tr w:rsidR="00324401" w:rsidRPr="00324401" w14:paraId="2C45943A" w14:textId="77777777">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01F7553"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lastRenderedPageBreak/>
              <w:t>MWM (Caterpillar) TCG 3016 V12</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1E4D735"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Otto (lean-burn)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320CEDE"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600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CACE07C"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~632</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F2CB39C"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~43.5%</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0F35B36"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~45.8%</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2FF03E8"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~89.3%</w:t>
            </w:r>
          </w:p>
        </w:tc>
      </w:tr>
      <w:tr w:rsidR="00324401" w:rsidRPr="00324401" w14:paraId="082CC3AD" w14:textId="77777777">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45450B6"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agriKomp BGA 252/490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1A90F37"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Otto (lean-burn)</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DB97431"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490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EAB5305"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~530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D9CAAC6"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~41.0%</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E506477"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~44.7%</w:t>
            </w:r>
          </w:p>
        </w:tc>
        <w:tc>
          <w:tcPr>
            <w:tcW w:w="1337"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D2B10B5" w14:textId="77777777" w:rsidR="00E42FD1" w:rsidRPr="00324401" w:rsidRDefault="00324401">
            <w:pPr>
              <w:pBdr>
                <w:top w:val="nil"/>
                <w:left w:val="nil"/>
                <w:bottom w:val="nil"/>
                <w:right w:val="nil"/>
                <w:between w:val="nil"/>
              </w:pBdr>
              <w:spacing w:line="275" w:lineRule="auto"/>
              <w:rPr>
                <w:rFonts w:asciiTheme="minorHAnsi" w:eastAsia="Google Sans Text" w:hAnsiTheme="minorHAnsi" w:cs="Google Sans Text"/>
              </w:rPr>
            </w:pPr>
            <w:r w:rsidRPr="00324401">
              <w:rPr>
                <w:rFonts w:asciiTheme="minorHAnsi" w:eastAsia="Google Sans Text" w:hAnsiTheme="minorHAnsi" w:cs="Google Sans Text"/>
              </w:rPr>
              <w:t>~85.7%</w:t>
            </w:r>
          </w:p>
        </w:tc>
      </w:tr>
    </w:tbl>
    <w:p w14:paraId="385B881C" w14:textId="77777777" w:rsidR="00E42FD1" w:rsidRPr="00324401" w:rsidRDefault="00324401">
      <w:pPr>
        <w:pBdr>
          <w:top w:val="nil"/>
          <w:left w:val="nil"/>
          <w:bottom w:val="nil"/>
          <w:right w:val="nil"/>
          <w:between w:val="nil"/>
        </w:pBdr>
        <w:spacing w:before="480" w:after="240" w:line="275" w:lineRule="auto"/>
        <w:rPr>
          <w:rFonts w:asciiTheme="minorHAnsi" w:eastAsia="Google Sans Text" w:hAnsiTheme="minorHAnsi" w:cs="Google Sans Text"/>
        </w:rPr>
      </w:pPr>
      <w:r w:rsidRPr="00324401">
        <w:rPr>
          <w:rFonts w:asciiTheme="minorHAnsi" w:eastAsia="Google Sans Text" w:hAnsiTheme="minorHAnsi" w:cs="Google Sans Text"/>
        </w:rPr>
        <w:t xml:space="preserve">Jak widać, sprawności elektryczne rzędu 40-43% są standardem rynkowym dla dobrze </w:t>
      </w:r>
      <w:r w:rsidRPr="00324401">
        <w:rPr>
          <w:rFonts w:asciiTheme="minorHAnsi" w:eastAsia="Google Sans Text" w:hAnsiTheme="minorHAnsi" w:cs="Google Sans Text"/>
        </w:rPr>
        <w:t>skonfigurowanych jednostek.</w:t>
      </w:r>
    </w:p>
    <w:p w14:paraId="2A815FDB" w14:textId="77777777" w:rsidR="00E42FD1" w:rsidRPr="00324401" w:rsidRDefault="00324401">
      <w:pPr>
        <w:pStyle w:val="Heading4"/>
        <w:spacing w:before="0" w:after="120" w:line="275" w:lineRule="auto"/>
        <w:rPr>
          <w:rFonts w:asciiTheme="minorHAnsi" w:eastAsia="Google Sans" w:hAnsiTheme="minorHAnsi" w:cs="Google Sans"/>
        </w:rPr>
      </w:pPr>
      <w:r w:rsidRPr="00324401">
        <w:rPr>
          <w:rFonts w:asciiTheme="minorHAnsi" w:eastAsia="Google Sans" w:hAnsiTheme="minorHAnsi" w:cs="Google Sans"/>
        </w:rPr>
        <w:t>Efektywność Układów CHP</w:t>
      </w:r>
    </w:p>
    <w:p w14:paraId="40472B8D"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Posiadanie sprawnego agregatu to jedno, ale efektywność całego systemu zależy od tego, jak zarządzamy produkowaną energią.</w:t>
      </w:r>
    </w:p>
    <w:p w14:paraId="7D513126" w14:textId="77777777" w:rsidR="00E42FD1" w:rsidRPr="00324401" w:rsidRDefault="00324401">
      <w:pPr>
        <w:pStyle w:val="Heading4"/>
        <w:spacing w:before="120" w:after="120" w:line="275" w:lineRule="auto"/>
        <w:rPr>
          <w:rFonts w:asciiTheme="minorHAnsi" w:eastAsia="Google Sans" w:hAnsiTheme="minorHAnsi" w:cs="Google Sans"/>
        </w:rPr>
      </w:pPr>
      <w:r w:rsidRPr="00324401">
        <w:rPr>
          <w:rFonts w:asciiTheme="minorHAnsi" w:eastAsia="Google Sans" w:hAnsiTheme="minorHAnsi" w:cs="Google Sans"/>
        </w:rPr>
        <w:t>Wykorzystanie Ciepła: Klucz do Wysokiej Sprawności Całkowitej</w:t>
      </w:r>
    </w:p>
    <w:p w14:paraId="2ED768E8" w14:textId="77777777" w:rsidR="00E42FD1" w:rsidRPr="00324401" w:rsidRDefault="00324401">
      <w:pPr>
        <w:pBdr>
          <w:top w:val="nil"/>
          <w:left w:val="nil"/>
          <w:bottom w:val="nil"/>
          <w:right w:val="nil"/>
          <w:between w:val="nil"/>
        </w:pBdr>
        <w:spacing w:after="120" w:line="275" w:lineRule="auto"/>
        <w:rPr>
          <w:rFonts w:asciiTheme="minorHAnsi" w:eastAsia="Google Sans Text" w:hAnsiTheme="minorHAnsi" w:cs="Google Sans Text"/>
        </w:rPr>
      </w:pPr>
      <w:r w:rsidRPr="00324401">
        <w:rPr>
          <w:rFonts w:asciiTheme="minorHAnsi" w:eastAsia="Google Sans Text" w:hAnsiTheme="minorHAnsi" w:cs="Google Sans Text"/>
        </w:rPr>
        <w:t>Nawet jeśli agregat</w:t>
      </w:r>
      <w:r w:rsidRPr="00324401">
        <w:rPr>
          <w:rFonts w:asciiTheme="minorHAnsi" w:eastAsia="Google Sans Text" w:hAnsiTheme="minorHAnsi" w:cs="Google Sans Text"/>
        </w:rPr>
        <w:t xml:space="preserve"> ma sprawność cieplną 45%, ale my odbierzemy tylko połowę tego ciepła, to realna sprawność cieplna systemu wynosi 22,5%. Zarządzanie ciepłem jest krytyczne.</w:t>
      </w:r>
    </w:p>
    <w:p w14:paraId="18E0478D" w14:textId="77777777" w:rsidR="00E42FD1" w:rsidRPr="00324401" w:rsidRDefault="00324401">
      <w:pPr>
        <w:numPr>
          <w:ilvl w:val="0"/>
          <w:numId w:val="3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Ciepło Technologiczne (Procesowe):</w:t>
      </w:r>
      <w:r w:rsidRPr="00324401">
        <w:rPr>
          <w:rFonts w:asciiTheme="minorHAnsi" w:eastAsia="Google Sans Text" w:hAnsiTheme="minorHAnsi" w:cs="Google Sans Text"/>
        </w:rPr>
        <w:t xml:space="preserve"> Absolutny priorytet.</w:t>
      </w:r>
    </w:p>
    <w:p w14:paraId="6F25B9B2" w14:textId="77777777" w:rsidR="00E42FD1" w:rsidRPr="00324401" w:rsidRDefault="00324401">
      <w:pPr>
        <w:numPr>
          <w:ilvl w:val="1"/>
          <w:numId w:val="35"/>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Ogrzewanie fermentorów:</w:t>
      </w:r>
      <w:r w:rsidRPr="00324401">
        <w:rPr>
          <w:rFonts w:asciiTheme="minorHAnsi" w:eastAsia="Google Sans Text" w:hAnsiTheme="minorHAnsi" w:cs="Google Sans Text"/>
        </w:rPr>
        <w:t xml:space="preserve"> Utrzymanie stałej temperatury procesu (np. 38-42°C dla mezofilowej) to podstawowy warunek stabilnej produkcji biogazu. Jest to stałe, całoroczne zapotrzebowanie na ciepło.</w:t>
      </w:r>
    </w:p>
    <w:p w14:paraId="1551DAD3" w14:textId="77777777" w:rsidR="00E42FD1" w:rsidRPr="00324401" w:rsidRDefault="00324401">
      <w:pPr>
        <w:numPr>
          <w:ilvl w:val="1"/>
          <w:numId w:val="35"/>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Higienizacja:</w:t>
      </w:r>
      <w:r w:rsidRPr="00324401">
        <w:rPr>
          <w:rFonts w:asciiTheme="minorHAnsi" w:eastAsia="Google Sans Text" w:hAnsiTheme="minorHAnsi" w:cs="Google Sans Text"/>
        </w:rPr>
        <w:t xml:space="preserve"> Jeśli stosujemy substraty UPPZ, musimy je podgrzać (np. do 70°C) i ut</w:t>
      </w:r>
      <w:r w:rsidRPr="00324401">
        <w:rPr>
          <w:rFonts w:asciiTheme="minorHAnsi" w:eastAsia="Google Sans Text" w:hAnsiTheme="minorHAnsi" w:cs="Google Sans Text"/>
        </w:rPr>
        <w:t>rzymać w tej temperaturze przez godzinę. Jest to zapotrzebowanie okresowe, ale o dużej mocy.</w:t>
      </w:r>
    </w:p>
    <w:p w14:paraId="00449F8E" w14:textId="77777777" w:rsidR="00E42FD1" w:rsidRPr="00324401" w:rsidRDefault="00324401">
      <w:pPr>
        <w:numPr>
          <w:ilvl w:val="1"/>
          <w:numId w:val="35"/>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Bilans cieplny:</w:t>
      </w:r>
      <w:r w:rsidRPr="00324401">
        <w:rPr>
          <w:rFonts w:asciiTheme="minorHAnsi" w:eastAsia="Google Sans Text" w:hAnsiTheme="minorHAnsi" w:cs="Google Sans Text"/>
        </w:rPr>
        <w:t xml:space="preserve"> Szacuje się, że na potrzeby własne biogazownia zużywa (w zależności od izolacji, klimatu, technologii) od 20% do 40% całkowitego produkowanego ciep</w:t>
      </w:r>
      <w:r w:rsidRPr="00324401">
        <w:rPr>
          <w:rFonts w:asciiTheme="minorHAnsi" w:eastAsia="Google Sans Text" w:hAnsiTheme="minorHAnsi" w:cs="Google Sans Text"/>
        </w:rPr>
        <w:t>ła.</w:t>
      </w:r>
    </w:p>
    <w:p w14:paraId="63A9C853" w14:textId="77777777" w:rsidR="00E42FD1" w:rsidRPr="00324401" w:rsidRDefault="00324401">
      <w:pPr>
        <w:numPr>
          <w:ilvl w:val="0"/>
          <w:numId w:val="3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Ciepło Użytkowe (Nadmiarowe):</w:t>
      </w:r>
      <w:r w:rsidRPr="00324401">
        <w:rPr>
          <w:rFonts w:asciiTheme="minorHAnsi" w:eastAsia="Google Sans Text" w:hAnsiTheme="minorHAnsi" w:cs="Google Sans Text"/>
        </w:rPr>
        <w:t xml:space="preserve"> To ciepło, które pozostaje po pokryciu potrzeb własnych. Jego sprzedaż lub wykorzystanie to czysty zysk.</w:t>
      </w:r>
    </w:p>
    <w:p w14:paraId="03770BC6" w14:textId="77777777" w:rsidR="00E42FD1" w:rsidRPr="00324401" w:rsidRDefault="00324401">
      <w:pPr>
        <w:numPr>
          <w:ilvl w:val="1"/>
          <w:numId w:val="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Ogrzewanie budynków:</w:t>
      </w:r>
      <w:r w:rsidRPr="00324401">
        <w:rPr>
          <w:rFonts w:asciiTheme="minorHAnsi" w:eastAsia="Google Sans Text" w:hAnsiTheme="minorHAnsi" w:cs="Google Sans Text"/>
        </w:rPr>
        <w:t xml:space="preserve"> Najprostsze zastosowanie – ogrzewanie własnego gospodarstwa, budynków inwentarskich, warsztatów,</w:t>
      </w:r>
      <w:r w:rsidRPr="00324401">
        <w:rPr>
          <w:rFonts w:asciiTheme="minorHAnsi" w:eastAsia="Google Sans Text" w:hAnsiTheme="minorHAnsi" w:cs="Google Sans Text"/>
        </w:rPr>
        <w:t xml:space="preserve"> a także sąsiednich gospodarstw czy budynków publicznych (szkoła, urząd gminy) poprzez małą, lokalną sieć ciepłowniczą.</w:t>
      </w:r>
    </w:p>
    <w:p w14:paraId="090B50D9" w14:textId="77777777" w:rsidR="00E42FD1" w:rsidRPr="00324401" w:rsidRDefault="00324401">
      <w:pPr>
        <w:numPr>
          <w:ilvl w:val="1"/>
          <w:numId w:val="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Suszenie:</w:t>
      </w:r>
      <w:r w:rsidRPr="00324401">
        <w:rPr>
          <w:rFonts w:asciiTheme="minorHAnsi" w:eastAsia="Google Sans Text" w:hAnsiTheme="minorHAnsi" w:cs="Google Sans Text"/>
        </w:rPr>
        <w:t xml:space="preserve"> Idealny odbiorca ciepła – proces o dużym zapotrzebowaniu, często stabilny i całoroczny.</w:t>
      </w:r>
    </w:p>
    <w:p w14:paraId="122944DD" w14:textId="77777777" w:rsidR="00E42FD1" w:rsidRPr="00324401" w:rsidRDefault="00324401">
      <w:pPr>
        <w:numPr>
          <w:ilvl w:val="2"/>
          <w:numId w:val="3"/>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Suszenie ziarna, kukurydzy, rzepaku.</w:t>
      </w:r>
    </w:p>
    <w:p w14:paraId="54439652" w14:textId="77777777" w:rsidR="00E42FD1" w:rsidRPr="00324401" w:rsidRDefault="00324401">
      <w:pPr>
        <w:numPr>
          <w:ilvl w:val="2"/>
          <w:numId w:val="3"/>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Suszenie drewna (np. dla lokalnych tartaków, producentów pelletu).</w:t>
      </w:r>
    </w:p>
    <w:p w14:paraId="3FEA9EEE" w14:textId="77777777" w:rsidR="00E42FD1" w:rsidRPr="00324401" w:rsidRDefault="00324401">
      <w:pPr>
        <w:numPr>
          <w:ilvl w:val="2"/>
          <w:numId w:val="3"/>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Suszenie pofermentu: Bardzo perspektywiczne. Przekształca płynny poferment w sypki, stabilny nawóz o wysokiej koncentracji składników, który można łatwo magazynować, pakować i sprzedawać na</w:t>
      </w:r>
      <w:r w:rsidRPr="00324401">
        <w:rPr>
          <w:rFonts w:asciiTheme="minorHAnsi" w:eastAsia="Google Sans Text" w:hAnsiTheme="minorHAnsi" w:cs="Google Sans Text"/>
        </w:rPr>
        <w:t xml:space="preserve"> szerokim rynku.</w:t>
      </w:r>
    </w:p>
    <w:p w14:paraId="26DFF3D1" w14:textId="77777777" w:rsidR="00E42FD1" w:rsidRPr="00324401" w:rsidRDefault="00324401">
      <w:pPr>
        <w:numPr>
          <w:ilvl w:val="1"/>
          <w:numId w:val="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Inne procesy:</w:t>
      </w:r>
      <w:r w:rsidRPr="00324401">
        <w:rPr>
          <w:rFonts w:asciiTheme="minorHAnsi" w:eastAsia="Google Sans Text" w:hAnsiTheme="minorHAnsi" w:cs="Google Sans Text"/>
        </w:rPr>
        <w:t xml:space="preserve"> Ogrzewanie szklarni, stawów hodowlanych (np. ryb), procesy w lokalnych </w:t>
      </w:r>
      <w:r w:rsidRPr="00324401">
        <w:rPr>
          <w:rFonts w:asciiTheme="minorHAnsi" w:eastAsia="Google Sans Text" w:hAnsiTheme="minorHAnsi" w:cs="Google Sans Text"/>
        </w:rPr>
        <w:lastRenderedPageBreak/>
        <w:t>zakładach przetwórstwa spożywczego.</w:t>
      </w:r>
    </w:p>
    <w:p w14:paraId="78996D38" w14:textId="77777777" w:rsidR="00E42FD1" w:rsidRPr="00324401" w:rsidRDefault="00324401">
      <w:pPr>
        <w:numPr>
          <w:ilvl w:val="0"/>
          <w:numId w:val="3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Rola Chłodnicy Awaryjnej (Rozpraszacza Ciepła):</w:t>
      </w:r>
    </w:p>
    <w:p w14:paraId="30FFE472" w14:textId="77777777" w:rsidR="00E42FD1" w:rsidRPr="00324401" w:rsidRDefault="00324401">
      <w:pPr>
        <w:numPr>
          <w:ilvl w:val="1"/>
          <w:numId w:val="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 xml:space="preserve">Każda jednostka CHP musi być wyposażona w chłodnicę awaryjną (duży </w:t>
      </w:r>
      <w:r w:rsidRPr="00324401">
        <w:rPr>
          <w:rFonts w:asciiTheme="minorHAnsi" w:eastAsia="Google Sans Text" w:hAnsiTheme="minorHAnsi" w:cs="Google Sans Text"/>
        </w:rPr>
        <w:t>wentylator z radiatorem).</w:t>
      </w:r>
    </w:p>
    <w:p w14:paraId="63EBC0DA" w14:textId="77777777" w:rsidR="00E42FD1" w:rsidRPr="00324401" w:rsidRDefault="00324401">
      <w:pPr>
        <w:numPr>
          <w:ilvl w:val="1"/>
          <w:numId w:val="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Zadanie:</w:t>
      </w:r>
      <w:r w:rsidRPr="00324401">
        <w:rPr>
          <w:rFonts w:asciiTheme="minorHAnsi" w:eastAsia="Google Sans Text" w:hAnsiTheme="minorHAnsi" w:cs="Google Sans Text"/>
        </w:rPr>
        <w:t xml:space="preserve"> Silnik musi być chłodzony, aby pracować. Jeśli zapotrzebowanie na ciepło (procesowe + użytkowe) jest mniejsze niż produkcja ciepła przez CHP, nadmiar gorącej wody jest kierowany do chłodnicy awaryjnej i ciepło jest "wyrzu</w:t>
      </w:r>
      <w:r w:rsidRPr="00324401">
        <w:rPr>
          <w:rFonts w:asciiTheme="minorHAnsi" w:eastAsia="Google Sans Text" w:hAnsiTheme="minorHAnsi" w:cs="Google Sans Text"/>
        </w:rPr>
        <w:t>cane" do atmosfery.</w:t>
      </w:r>
    </w:p>
    <w:p w14:paraId="66526A6C" w14:textId="77777777" w:rsidR="00E42FD1" w:rsidRPr="00324401" w:rsidRDefault="00324401">
      <w:pPr>
        <w:numPr>
          <w:ilvl w:val="1"/>
          <w:numId w:val="4"/>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b/>
        </w:rPr>
        <w:t>Wniosek:</w:t>
      </w:r>
      <w:r w:rsidRPr="00324401">
        <w:rPr>
          <w:rFonts w:asciiTheme="minorHAnsi" w:eastAsia="Google Sans Text" w:hAnsiTheme="minorHAnsi" w:cs="Google Sans Text"/>
        </w:rPr>
        <w:t xml:space="preserve"> Częsta praca chłodnicy awaryjnej (zwłaszcza latem) oznacza marnotrawstwo energii i utratę potencjalnych przychodów. Dlatego tak ważne jest planowanie odbioru ciepła użytkowego już na etapie koncepcji biogazowni.</w:t>
      </w:r>
    </w:p>
    <w:p w14:paraId="02C99B69" w14:textId="77777777" w:rsidR="00E42FD1" w:rsidRPr="00324401" w:rsidRDefault="00324401">
      <w:pPr>
        <w:pStyle w:val="Heading4"/>
        <w:spacing w:before="120" w:after="120" w:line="275" w:lineRule="auto"/>
        <w:rPr>
          <w:rFonts w:asciiTheme="minorHAnsi" w:eastAsia="Google Sans" w:hAnsiTheme="minorHAnsi" w:cs="Google Sans"/>
        </w:rPr>
      </w:pPr>
      <w:r w:rsidRPr="00324401">
        <w:rPr>
          <w:rFonts w:asciiTheme="minorHAnsi" w:eastAsia="Google Sans" w:hAnsiTheme="minorHAnsi" w:cs="Google Sans"/>
        </w:rPr>
        <w:t>Czynniki Wpływa</w:t>
      </w:r>
      <w:r w:rsidRPr="00324401">
        <w:rPr>
          <w:rFonts w:asciiTheme="minorHAnsi" w:eastAsia="Google Sans" w:hAnsiTheme="minorHAnsi" w:cs="Google Sans"/>
        </w:rPr>
        <w:t>jące na Efektywność</w:t>
      </w:r>
    </w:p>
    <w:p w14:paraId="0B5BCD62" w14:textId="77777777" w:rsidR="00E42FD1" w:rsidRPr="00324401" w:rsidRDefault="00324401">
      <w:pPr>
        <w:numPr>
          <w:ilvl w:val="0"/>
          <w:numId w:val="5"/>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Jakość i stabilność biogazu:</w:t>
      </w:r>
      <w:r w:rsidRPr="00324401">
        <w:rPr>
          <w:rFonts w:asciiTheme="minorHAnsi" w:eastAsia="Google Sans Text" w:hAnsiTheme="minorHAnsi" w:cs="Google Sans Text"/>
        </w:rPr>
        <w:t xml:space="preserve"> Spadki zawartości metanu (CH₄) powodują spadek mocy silnika. Wahania składu wymuszają na systemie sterowania ciągłą adaptację, co obniża stabilność. Zanieczyszczenia (H₂S, siloksany) degradują silnik, obniża</w:t>
      </w:r>
      <w:r w:rsidRPr="00324401">
        <w:rPr>
          <w:rFonts w:asciiTheme="minorHAnsi" w:eastAsia="Google Sans Text" w:hAnsiTheme="minorHAnsi" w:cs="Google Sans Text"/>
        </w:rPr>
        <w:t>jąc jego sprawność i żywotność.</w:t>
      </w:r>
    </w:p>
    <w:p w14:paraId="5BE2F1F5" w14:textId="77777777" w:rsidR="00E42FD1" w:rsidRPr="00324401" w:rsidRDefault="00324401">
      <w:pPr>
        <w:numPr>
          <w:ilvl w:val="0"/>
          <w:numId w:val="5"/>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Stopień obciążenia jednostki CHP:</w:t>
      </w:r>
      <w:r w:rsidRPr="00324401">
        <w:rPr>
          <w:rFonts w:asciiTheme="minorHAnsi" w:eastAsia="Google Sans Text" w:hAnsiTheme="minorHAnsi" w:cs="Google Sans Text"/>
        </w:rPr>
        <w:t xml:space="preserve"> Silniki tłokowe mają najwyższą sprawność elektryczną przy obciążeniu znamionowym (80-100%). Praca przy niskim obciążeniu (np. 50%) drastycznie obniża sprawność elektryczną. Dlatego kluczowe </w:t>
      </w:r>
      <w:r w:rsidRPr="00324401">
        <w:rPr>
          <w:rFonts w:asciiTheme="minorHAnsi" w:eastAsia="Google Sans Text" w:hAnsiTheme="minorHAnsi" w:cs="Google Sans Text"/>
        </w:rPr>
        <w:t>jest dobranie mocy CHP do realnej, stabilnej produkcji biogazu.</w:t>
      </w:r>
    </w:p>
    <w:p w14:paraId="2C692E2B" w14:textId="77777777" w:rsidR="00E42FD1" w:rsidRPr="00324401" w:rsidRDefault="00324401">
      <w:pPr>
        <w:numPr>
          <w:ilvl w:val="0"/>
          <w:numId w:val="5"/>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b/>
        </w:rPr>
        <w:t>Stan techniczny:</w:t>
      </w:r>
      <w:r w:rsidRPr="00324401">
        <w:rPr>
          <w:rFonts w:asciiTheme="minorHAnsi" w:eastAsia="Google Sans Text" w:hAnsiTheme="minorHAnsi" w:cs="Google Sans Text"/>
        </w:rPr>
        <w:t xml:space="preserve"> Regularny serwis (wymiana oleju, filtrów, świec zapłonowych) zgodnie z harmonogramem producenta (np. co 2000-4000 motogodzin) jest absolutnie konieczny do utrzymania wysokiej sprawności i uniknięcia awarii.</w:t>
      </w:r>
    </w:p>
    <w:p w14:paraId="5A1D00EF" w14:textId="77777777" w:rsidR="00E42FD1" w:rsidRPr="00324401" w:rsidRDefault="00324401">
      <w:pPr>
        <w:pStyle w:val="Heading3"/>
        <w:spacing w:before="120" w:after="120" w:line="275" w:lineRule="auto"/>
        <w:rPr>
          <w:rFonts w:asciiTheme="minorHAnsi" w:eastAsia="Google Sans" w:hAnsiTheme="minorHAnsi" w:cs="Google Sans"/>
        </w:rPr>
      </w:pPr>
      <w:r w:rsidRPr="00324401">
        <w:rPr>
          <w:rFonts w:asciiTheme="minorHAnsi" w:eastAsia="Google Sans" w:hAnsiTheme="minorHAnsi" w:cs="Google Sans"/>
        </w:rPr>
        <w:t>Uwarunkowania Przyłączenia do Sieci Elektroenerg</w:t>
      </w:r>
      <w:r w:rsidRPr="00324401">
        <w:rPr>
          <w:rFonts w:asciiTheme="minorHAnsi" w:eastAsia="Google Sans" w:hAnsiTheme="minorHAnsi" w:cs="Google Sans"/>
        </w:rPr>
        <w:t>etycznej</w:t>
      </w:r>
    </w:p>
    <w:p w14:paraId="25B9BE72"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Wyprodukowanie prądu to połowa sukcesu. Drugą połową jest jego sprzedaż, co wymaga fizycznego przyłączenia do Krajowego Systemu Elektroenergetycznego (KSE), najczęściej poprzez sieć Operatora Systemu Dystrybucyjnego (OSD), takiego jak PGE Dystrybu</w:t>
      </w:r>
      <w:r w:rsidRPr="00324401">
        <w:rPr>
          <w:rFonts w:asciiTheme="minorHAnsi" w:eastAsia="Google Sans Text" w:hAnsiTheme="minorHAnsi" w:cs="Google Sans Text"/>
        </w:rPr>
        <w:t>cja, Tauron Dystrybucja, Enea Operator czy Energa Operator.</w:t>
      </w:r>
    </w:p>
    <w:p w14:paraId="61CBEB49" w14:textId="77777777" w:rsidR="00E42FD1" w:rsidRPr="00324401" w:rsidRDefault="00324401">
      <w:pPr>
        <w:pStyle w:val="Heading4"/>
        <w:spacing w:before="0" w:after="120" w:line="275" w:lineRule="auto"/>
        <w:rPr>
          <w:rFonts w:asciiTheme="minorHAnsi" w:eastAsia="Google Sans" w:hAnsiTheme="minorHAnsi" w:cs="Google Sans"/>
        </w:rPr>
      </w:pPr>
      <w:r w:rsidRPr="00324401">
        <w:rPr>
          <w:rFonts w:asciiTheme="minorHAnsi" w:eastAsia="Google Sans" w:hAnsiTheme="minorHAnsi" w:cs="Google Sans"/>
        </w:rPr>
        <w:t>Procedura Przyłączeniowa (krok po kroku)</w:t>
      </w:r>
    </w:p>
    <w:p w14:paraId="670E417C" w14:textId="77777777" w:rsidR="00E42FD1" w:rsidRPr="00324401" w:rsidRDefault="00324401">
      <w:pPr>
        <w:numPr>
          <w:ilvl w:val="0"/>
          <w:numId w:val="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Złożenie Wniosku o Określenie Warunków Przyłączenia (WP):</w:t>
      </w:r>
      <w:r w:rsidRPr="00324401">
        <w:rPr>
          <w:rFonts w:asciiTheme="minorHAnsi" w:eastAsia="Google Sans Text" w:hAnsiTheme="minorHAnsi" w:cs="Google Sans Text"/>
        </w:rPr>
        <w:t xml:space="preserve"> Pierwszy formalny krok. Składany do lokalnego OSD. Wniosek musi zawierać m.in. dane inwestora, lo</w:t>
      </w:r>
      <w:r w:rsidRPr="00324401">
        <w:rPr>
          <w:rFonts w:asciiTheme="minorHAnsi" w:eastAsia="Google Sans Text" w:hAnsiTheme="minorHAnsi" w:cs="Google Sans Text"/>
        </w:rPr>
        <w:t>kalizację, planowaną moc przyłączeniową [kW], przewidywaną roczną produkcję [MWh], charakterystykę techniczną jednostek CHP.</w:t>
      </w:r>
    </w:p>
    <w:p w14:paraId="28F31674" w14:textId="77777777" w:rsidR="00E42FD1" w:rsidRPr="00324401" w:rsidRDefault="00324401">
      <w:pPr>
        <w:numPr>
          <w:ilvl w:val="0"/>
          <w:numId w:val="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Wydanie Warunków Przyłączenia (WP):</w:t>
      </w:r>
      <w:r w:rsidRPr="00324401">
        <w:rPr>
          <w:rFonts w:asciiTheme="minorHAnsi" w:eastAsia="Google Sans Text" w:hAnsiTheme="minorHAnsi" w:cs="Google Sans Text"/>
        </w:rPr>
        <w:t xml:space="preserve"> OSD ma ustawowy termin na analizę wniosku. Dla biogazowni rolniczych o mocy do 2 MW, Ustawa o u</w:t>
      </w:r>
      <w:r w:rsidRPr="00324401">
        <w:rPr>
          <w:rFonts w:asciiTheme="minorHAnsi" w:eastAsia="Google Sans Text" w:hAnsiTheme="minorHAnsi" w:cs="Google Sans Text"/>
        </w:rPr>
        <w:t xml:space="preserve">łatwieniach </w:t>
      </w:r>
      <w:r w:rsidRPr="00324401">
        <w:rPr>
          <w:rFonts w:asciiTheme="minorHAnsi" w:eastAsia="Google Sans Text" w:hAnsiTheme="minorHAnsi" w:cs="Google Sans Text"/>
          <w:i/>
        </w:rPr>
        <w:t>(cite: 5307-5310)</w:t>
      </w:r>
      <w:r w:rsidRPr="00324401">
        <w:rPr>
          <w:rFonts w:asciiTheme="minorHAnsi" w:eastAsia="Google Sans Text" w:hAnsiTheme="minorHAnsi" w:cs="Google Sans Text"/>
        </w:rPr>
        <w:t xml:space="preserve"> (Art. 11, nowelizujący Prawo Energetyczne) skróciła ten termin do 90 dni. W WP operator określa:</w:t>
      </w:r>
    </w:p>
    <w:p w14:paraId="10B122E8" w14:textId="77777777" w:rsidR="00E42FD1" w:rsidRPr="00324401" w:rsidRDefault="00324401">
      <w:pPr>
        <w:numPr>
          <w:ilvl w:val="1"/>
          <w:numId w:val="7"/>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Miejsce przyłączenia (konkretny punkt w sieci, zazwyczaj sieć Średniego Napięcia - SN 15kV).</w:t>
      </w:r>
    </w:p>
    <w:p w14:paraId="7694CBAF" w14:textId="77777777" w:rsidR="00E42FD1" w:rsidRPr="00324401" w:rsidRDefault="00324401">
      <w:pPr>
        <w:numPr>
          <w:ilvl w:val="1"/>
          <w:numId w:val="7"/>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 xml:space="preserve">Wymagania techniczne (parametry, </w:t>
      </w:r>
      <w:r w:rsidRPr="00324401">
        <w:rPr>
          <w:rFonts w:asciiTheme="minorHAnsi" w:eastAsia="Google Sans Text" w:hAnsiTheme="minorHAnsi" w:cs="Google Sans Text"/>
        </w:rPr>
        <w:t>zabezpieczenia).</w:t>
      </w:r>
    </w:p>
    <w:p w14:paraId="4556FBA0" w14:textId="77777777" w:rsidR="00E42FD1" w:rsidRPr="00324401" w:rsidRDefault="00324401">
      <w:pPr>
        <w:numPr>
          <w:ilvl w:val="1"/>
          <w:numId w:val="7"/>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Zakres prac niezbędnych do wykonania przyłącza (np. budowa stacji transformatorowej, położenie linii kablowej).</w:t>
      </w:r>
    </w:p>
    <w:p w14:paraId="34FFF720" w14:textId="77777777" w:rsidR="00E42FD1" w:rsidRPr="00324401" w:rsidRDefault="00324401">
      <w:pPr>
        <w:numPr>
          <w:ilvl w:val="1"/>
          <w:numId w:val="7"/>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Szacowane koszty (opłata przyłączeniowa).</w:t>
      </w:r>
    </w:p>
    <w:p w14:paraId="5AB863D6" w14:textId="77777777" w:rsidR="00E42FD1" w:rsidRPr="00324401" w:rsidRDefault="00324401">
      <w:pPr>
        <w:numPr>
          <w:ilvl w:val="0"/>
          <w:numId w:val="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lastRenderedPageBreak/>
        <w:t>Zawarcie Umowy o Przyłączenie:</w:t>
      </w:r>
      <w:r w:rsidRPr="00324401">
        <w:rPr>
          <w:rFonts w:asciiTheme="minorHAnsi" w:eastAsia="Google Sans Text" w:hAnsiTheme="minorHAnsi" w:cs="Google Sans Text"/>
        </w:rPr>
        <w:t xml:space="preserve"> Po akceptacji WP przez inwestora, podpisywana jest umo</w:t>
      </w:r>
      <w:r w:rsidRPr="00324401">
        <w:rPr>
          <w:rFonts w:asciiTheme="minorHAnsi" w:eastAsia="Google Sans Text" w:hAnsiTheme="minorHAnsi" w:cs="Google Sans Text"/>
        </w:rPr>
        <w:t>wa, która jest prawnym zobowiązaniem obu stron. Określa szczegółowy harmonogram, ostateczne koszty i podział obowiązków.</w:t>
      </w:r>
    </w:p>
    <w:p w14:paraId="6EDAE115" w14:textId="77777777" w:rsidR="00E42FD1" w:rsidRPr="00324401" w:rsidRDefault="00324401">
      <w:pPr>
        <w:numPr>
          <w:ilvl w:val="0"/>
          <w:numId w:val="6"/>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Realizacja Przyłączenia:</w:t>
      </w:r>
      <w:r w:rsidRPr="00324401">
        <w:rPr>
          <w:rFonts w:asciiTheme="minorHAnsi" w:eastAsia="Google Sans Text" w:hAnsiTheme="minorHAnsi" w:cs="Google Sans Text"/>
        </w:rPr>
        <w:t xml:space="preserve"> Budowa infrastruktury przyłączeniowej (stacja transformatorowa SN/NN, linia kablowa lub napowietrzna). Koszty </w:t>
      </w:r>
      <w:r w:rsidRPr="00324401">
        <w:rPr>
          <w:rFonts w:asciiTheme="minorHAnsi" w:eastAsia="Google Sans Text" w:hAnsiTheme="minorHAnsi" w:cs="Google Sans Text"/>
        </w:rPr>
        <w:t xml:space="preserve">są dzielone – inwestor płaci ryczałtową stawkę za każdy kW mocy przyłączeniowej, a OSD pokrywa resztę kosztów budowy. ALE: Jeśli przyłączenie wymaga modernizacji sieci OSD (np. wymiany transformatora na stacji GPZ), te koszty mogą być w całości lub części </w:t>
      </w:r>
      <w:r w:rsidRPr="00324401">
        <w:rPr>
          <w:rFonts w:asciiTheme="minorHAnsi" w:eastAsia="Google Sans Text" w:hAnsiTheme="minorHAnsi" w:cs="Google Sans Text"/>
        </w:rPr>
        <w:t>przerzucone na inwestora, co może drastycznie zwiększyć CAPEX.</w:t>
      </w:r>
    </w:p>
    <w:p w14:paraId="5DF9C263" w14:textId="77777777" w:rsidR="00E42FD1" w:rsidRPr="00324401" w:rsidRDefault="00324401">
      <w:pPr>
        <w:numPr>
          <w:ilvl w:val="0"/>
          <w:numId w:val="6"/>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b/>
        </w:rPr>
        <w:t>Odbiory i Uruchomienie:</w:t>
      </w:r>
      <w:r w:rsidRPr="00324401">
        <w:rPr>
          <w:rFonts w:asciiTheme="minorHAnsi" w:eastAsia="Google Sans Text" w:hAnsiTheme="minorHAnsi" w:cs="Google Sans Text"/>
        </w:rPr>
        <w:t xml:space="preserve"> Po zakończeniu budowy, OSD przeprowadza odbiory techniczne, instaluje układ pomiarowo-rozliczeniowy (licznik) i wydaje zgodę na podanie napięcia.</w:t>
      </w:r>
    </w:p>
    <w:p w14:paraId="51A32F33" w14:textId="77777777" w:rsidR="00E42FD1" w:rsidRPr="00324401" w:rsidRDefault="00324401">
      <w:pPr>
        <w:pStyle w:val="Heading4"/>
        <w:spacing w:before="120" w:after="120" w:line="275" w:lineRule="auto"/>
        <w:rPr>
          <w:rFonts w:asciiTheme="minorHAnsi" w:eastAsia="Google Sans" w:hAnsiTheme="minorHAnsi" w:cs="Google Sans"/>
        </w:rPr>
      </w:pPr>
      <w:r w:rsidRPr="00324401">
        <w:rPr>
          <w:rFonts w:asciiTheme="minorHAnsi" w:eastAsia="Google Sans" w:hAnsiTheme="minorHAnsi" w:cs="Google Sans"/>
        </w:rPr>
        <w:t>Wymagania Techniczne OS</w:t>
      </w:r>
      <w:r w:rsidRPr="00324401">
        <w:rPr>
          <w:rFonts w:asciiTheme="minorHAnsi" w:eastAsia="Google Sans" w:hAnsiTheme="minorHAnsi" w:cs="Google Sans"/>
        </w:rPr>
        <w:t>D</w:t>
      </w:r>
    </w:p>
    <w:p w14:paraId="7C568C31" w14:textId="77777777" w:rsidR="00E42FD1" w:rsidRPr="00324401" w:rsidRDefault="00324401">
      <w:pPr>
        <w:pBdr>
          <w:top w:val="nil"/>
          <w:left w:val="nil"/>
          <w:bottom w:val="nil"/>
          <w:right w:val="nil"/>
          <w:between w:val="nil"/>
        </w:pBdr>
        <w:spacing w:after="120" w:line="275" w:lineRule="auto"/>
        <w:rPr>
          <w:rFonts w:asciiTheme="minorHAnsi" w:eastAsia="Google Sans Text" w:hAnsiTheme="minorHAnsi" w:cs="Google Sans Text"/>
        </w:rPr>
      </w:pPr>
      <w:r w:rsidRPr="00324401">
        <w:rPr>
          <w:rFonts w:asciiTheme="minorHAnsi" w:eastAsia="Google Sans Text" w:hAnsiTheme="minorHAnsi" w:cs="Google Sans Text"/>
        </w:rPr>
        <w:t>OSD dba o bezpieczeństwo i stabilność sieci. Wymagania techniczne są rygorystyczne:</w:t>
      </w:r>
    </w:p>
    <w:p w14:paraId="1F4D3DBF" w14:textId="77777777" w:rsidR="00E42FD1" w:rsidRPr="00324401" w:rsidRDefault="00324401">
      <w:pPr>
        <w:numPr>
          <w:ilvl w:val="0"/>
          <w:numId w:val="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Miejsce przyłączenia:</w:t>
      </w:r>
      <w:r w:rsidRPr="00324401">
        <w:rPr>
          <w:rFonts w:asciiTheme="minorHAnsi" w:eastAsia="Google Sans Text" w:hAnsiTheme="minorHAnsi" w:cs="Google Sans Text"/>
        </w:rPr>
        <w:t xml:space="preserve"> Małe instalacje (do ok. 50 kW) mogą być przyłączane do sieci Niskiego Napięcia (NN - 0,4kV). Biogazownie (np. 0,5 MW - 2 MW) są przyłączane do sieci Średniego Napięcia (SN - 15kV), co wymaga budowy stacji transformatorowej SN/NN po stronie inwestora.</w:t>
      </w:r>
    </w:p>
    <w:p w14:paraId="71468B4C" w14:textId="77777777" w:rsidR="00E42FD1" w:rsidRPr="00324401" w:rsidRDefault="00324401">
      <w:pPr>
        <w:numPr>
          <w:ilvl w:val="0"/>
          <w:numId w:val="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Stan</w:t>
      </w:r>
      <w:r w:rsidRPr="00324401">
        <w:rPr>
          <w:rFonts w:asciiTheme="minorHAnsi" w:eastAsia="Google Sans Text" w:hAnsiTheme="minorHAnsi" w:cs="Google Sans Text"/>
          <w:b/>
        </w:rPr>
        <w:t>dardy jakości energii:</w:t>
      </w:r>
      <w:r w:rsidRPr="00324401">
        <w:rPr>
          <w:rFonts w:asciiTheme="minorHAnsi" w:eastAsia="Google Sans Text" w:hAnsiTheme="minorHAnsi" w:cs="Google Sans Text"/>
        </w:rPr>
        <w:t xml:space="preserve"> Generator musi produkować prąd o stabilnej częstotliwości (50 Hz) i napięciu. Wymagana jest regulacja mocy biernej (cos φ).</w:t>
      </w:r>
    </w:p>
    <w:p w14:paraId="3A5AC451" w14:textId="77777777" w:rsidR="00E42FD1" w:rsidRPr="00324401" w:rsidRDefault="00324401">
      <w:pPr>
        <w:numPr>
          <w:ilvl w:val="0"/>
          <w:numId w:val="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Zabezpieczenia sieciowe:</w:t>
      </w:r>
      <w:r w:rsidRPr="00324401">
        <w:rPr>
          <w:rFonts w:asciiTheme="minorHAnsi" w:eastAsia="Google Sans Text" w:hAnsiTheme="minorHAnsi" w:cs="Google Sans Text"/>
        </w:rPr>
        <w:t xml:space="preserve"> Kluczowy wymóg. Instalacja musi posiadać certyfikowane przekaźniki zabezpieczeniowe,</w:t>
      </w:r>
      <w:r w:rsidRPr="00324401">
        <w:rPr>
          <w:rFonts w:asciiTheme="minorHAnsi" w:eastAsia="Google Sans Text" w:hAnsiTheme="minorHAnsi" w:cs="Google Sans Text"/>
        </w:rPr>
        <w:t xml:space="preserve"> które automatycznie odłączą biogazownię od sieci w przypadku awarii (tzw. ochrona "anti-islanding" - przed pracą wyspową), zaniku napięcia, lub odchyleń parametrów (zbyt wysokie/niskie napięcie lub częstotliwość).</w:t>
      </w:r>
    </w:p>
    <w:p w14:paraId="472A2BDF" w14:textId="77777777" w:rsidR="00E42FD1" w:rsidRPr="00324401" w:rsidRDefault="00324401">
      <w:pPr>
        <w:numPr>
          <w:ilvl w:val="0"/>
          <w:numId w:val="8"/>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Układy pomiarowo-rozliczeniowe:</w:t>
      </w:r>
      <w:r w:rsidRPr="00324401">
        <w:rPr>
          <w:rFonts w:asciiTheme="minorHAnsi" w:eastAsia="Google Sans Text" w:hAnsiTheme="minorHAnsi" w:cs="Google Sans Text"/>
        </w:rPr>
        <w:t xml:space="preserve"> Licznik e</w:t>
      </w:r>
      <w:r w:rsidRPr="00324401">
        <w:rPr>
          <w:rFonts w:asciiTheme="minorHAnsi" w:eastAsia="Google Sans Text" w:hAnsiTheme="minorHAnsi" w:cs="Google Sans Text"/>
        </w:rPr>
        <w:t>nergii musi być certyfikowany, zdalnie odczytywany przez OSD i zaplombowany.</w:t>
      </w:r>
    </w:p>
    <w:p w14:paraId="37E1D8B0" w14:textId="77777777" w:rsidR="00E42FD1" w:rsidRPr="00324401" w:rsidRDefault="00324401">
      <w:pPr>
        <w:numPr>
          <w:ilvl w:val="0"/>
          <w:numId w:val="8"/>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b/>
        </w:rPr>
        <w:t>Telemechanika:</w:t>
      </w:r>
      <w:r w:rsidRPr="00324401">
        <w:rPr>
          <w:rFonts w:asciiTheme="minorHAnsi" w:eastAsia="Google Sans Text" w:hAnsiTheme="minorHAnsi" w:cs="Google Sans Text"/>
        </w:rPr>
        <w:t xml:space="preserve"> Dla większych jednostek OSD wymaga zdalnej komunikacji z instalacją, umożliwiającej monitorowanie jej pracy i ewentualne zdalne wyłączenie w sytuacjach awaryjnych w</w:t>
      </w:r>
      <w:r w:rsidRPr="00324401">
        <w:rPr>
          <w:rFonts w:asciiTheme="minorHAnsi" w:eastAsia="Google Sans Text" w:hAnsiTheme="minorHAnsi" w:cs="Google Sans Text"/>
        </w:rPr>
        <w:t xml:space="preserve"> sieci.</w:t>
      </w:r>
    </w:p>
    <w:p w14:paraId="6E42A722" w14:textId="77777777" w:rsidR="00E42FD1" w:rsidRPr="00324401" w:rsidRDefault="00324401">
      <w:pPr>
        <w:pStyle w:val="Heading4"/>
        <w:spacing w:before="120" w:after="120" w:line="275" w:lineRule="auto"/>
        <w:rPr>
          <w:rFonts w:asciiTheme="minorHAnsi" w:eastAsia="Google Sans" w:hAnsiTheme="minorHAnsi" w:cs="Google Sans"/>
        </w:rPr>
      </w:pPr>
      <w:r w:rsidRPr="00324401">
        <w:rPr>
          <w:rFonts w:asciiTheme="minorHAnsi" w:eastAsia="Google Sans" w:hAnsiTheme="minorHAnsi" w:cs="Google Sans"/>
        </w:rPr>
        <w:t>Aspekty Ekonomiczne i Regulacyjne Sprzedaży Energii</w:t>
      </w:r>
    </w:p>
    <w:p w14:paraId="0E12C355"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Samo przyłączenie do sieci nie oznacza jeszcze zysków. Konieczne jest wejście w jeden z systemów wsparcia określonych w Ustawie o OZE.</w:t>
      </w:r>
    </w:p>
    <w:p w14:paraId="00DC50A6" w14:textId="77777777" w:rsidR="00E42FD1" w:rsidRPr="00324401" w:rsidRDefault="00324401">
      <w:pPr>
        <w:pBdr>
          <w:top w:val="nil"/>
          <w:left w:val="nil"/>
          <w:bottom w:val="nil"/>
          <w:right w:val="nil"/>
          <w:between w:val="nil"/>
        </w:pBdr>
        <w:spacing w:after="120" w:line="275" w:lineRule="auto"/>
        <w:rPr>
          <w:rFonts w:asciiTheme="minorHAnsi" w:eastAsia="Google Sans Text" w:hAnsiTheme="minorHAnsi" w:cs="Google Sans Text"/>
          <w:b/>
        </w:rPr>
      </w:pPr>
      <w:r w:rsidRPr="00324401">
        <w:rPr>
          <w:rFonts w:asciiTheme="minorHAnsi" w:eastAsia="Google Sans Text" w:hAnsiTheme="minorHAnsi" w:cs="Google Sans Text"/>
          <w:b/>
        </w:rPr>
        <w:t xml:space="preserve">Systemy Wsparcia OZE (Główne opcje dla biogazowni </w:t>
      </w:r>
      <w:r w:rsidRPr="00324401">
        <w:rPr>
          <w:rFonts w:asciiTheme="minorHAnsi" w:eastAsia="Google Sans Text" w:hAnsiTheme="minorHAnsi" w:cs="Google Sans Text"/>
          <w:b/>
        </w:rPr>
        <w:t>rolniczych):</w:t>
      </w:r>
    </w:p>
    <w:p w14:paraId="1F0EAFB2" w14:textId="77777777" w:rsidR="00E42FD1" w:rsidRPr="00324401" w:rsidRDefault="00324401">
      <w:pPr>
        <w:numPr>
          <w:ilvl w:val="0"/>
          <w:numId w:val="9"/>
        </w:numPr>
        <w:pBdr>
          <w:top w:val="nil"/>
          <w:left w:val="nil"/>
          <w:bottom w:val="nil"/>
          <w:right w:val="nil"/>
          <w:between w:val="nil"/>
        </w:pBdr>
        <w:spacing w:line="275" w:lineRule="auto"/>
        <w:rPr>
          <w:rFonts w:asciiTheme="minorHAnsi" w:hAnsiTheme="minorHAnsi"/>
          <w:lang w:val="en-US"/>
        </w:rPr>
      </w:pPr>
      <w:proofErr w:type="spellStart"/>
      <w:r w:rsidRPr="00324401">
        <w:rPr>
          <w:rFonts w:asciiTheme="minorHAnsi" w:eastAsia="Google Sans Text" w:hAnsiTheme="minorHAnsi" w:cs="Google Sans Text"/>
          <w:b/>
          <w:lang w:val="en-US"/>
        </w:rPr>
        <w:t>Taryfy</w:t>
      </w:r>
      <w:proofErr w:type="spellEnd"/>
      <w:r w:rsidRPr="00324401">
        <w:rPr>
          <w:rFonts w:asciiTheme="minorHAnsi" w:eastAsia="Google Sans Text" w:hAnsiTheme="minorHAnsi" w:cs="Google Sans Text"/>
          <w:b/>
          <w:lang w:val="en-US"/>
        </w:rPr>
        <w:t xml:space="preserve"> </w:t>
      </w:r>
      <w:proofErr w:type="spellStart"/>
      <w:r w:rsidRPr="00324401">
        <w:rPr>
          <w:rFonts w:asciiTheme="minorHAnsi" w:eastAsia="Google Sans Text" w:hAnsiTheme="minorHAnsi" w:cs="Google Sans Text"/>
          <w:b/>
          <w:lang w:val="en-US"/>
        </w:rPr>
        <w:t>Gwarantowane</w:t>
      </w:r>
      <w:proofErr w:type="spellEnd"/>
      <w:r w:rsidRPr="00324401">
        <w:rPr>
          <w:rFonts w:asciiTheme="minorHAnsi" w:eastAsia="Google Sans Text" w:hAnsiTheme="minorHAnsi" w:cs="Google Sans Text"/>
          <w:b/>
          <w:lang w:val="en-US"/>
        </w:rPr>
        <w:t xml:space="preserve"> (</w:t>
      </w:r>
      <w:proofErr w:type="spellStart"/>
      <w:r w:rsidRPr="00324401">
        <w:rPr>
          <w:rFonts w:asciiTheme="minorHAnsi" w:eastAsia="Google Sans Text" w:hAnsiTheme="minorHAnsi" w:cs="Google Sans Text"/>
          <w:b/>
          <w:lang w:val="en-US"/>
        </w:rPr>
        <w:t>FiT</w:t>
      </w:r>
      <w:proofErr w:type="spellEnd"/>
      <w:r w:rsidRPr="00324401">
        <w:rPr>
          <w:rFonts w:asciiTheme="minorHAnsi" w:eastAsia="Google Sans Text" w:hAnsiTheme="minorHAnsi" w:cs="Google Sans Text"/>
          <w:b/>
          <w:lang w:val="en-US"/>
        </w:rPr>
        <w:t xml:space="preserve"> - Feed-in Tariff):</w:t>
      </w:r>
    </w:p>
    <w:p w14:paraId="11770CC5" w14:textId="77777777" w:rsidR="00E42FD1" w:rsidRPr="00324401" w:rsidRDefault="00324401">
      <w:pPr>
        <w:numPr>
          <w:ilvl w:val="1"/>
          <w:numId w:val="1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Dla instalacji do 500 kW.</w:t>
      </w:r>
    </w:p>
    <w:p w14:paraId="1F319D06" w14:textId="77777777" w:rsidR="00E42FD1" w:rsidRPr="00324401" w:rsidRDefault="00324401">
      <w:pPr>
        <w:numPr>
          <w:ilvl w:val="1"/>
          <w:numId w:val="1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Inwestor sprzedaje całą wyprodukowaną energię elektryczną do "sprzedawcy zobowiązanego" po stałej, ustawowo określonej cenie (ogłaszanej przez Prezesa URE) przez 15 lat.</w:t>
      </w:r>
    </w:p>
    <w:p w14:paraId="4D61BAE5" w14:textId="77777777" w:rsidR="00E42FD1" w:rsidRPr="00324401" w:rsidRDefault="00324401">
      <w:pPr>
        <w:numPr>
          <w:ilvl w:val="1"/>
          <w:numId w:val="1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Zal</w:t>
      </w:r>
      <w:r w:rsidRPr="00324401">
        <w:rPr>
          <w:rFonts w:asciiTheme="minorHAnsi" w:eastAsia="Google Sans Text" w:hAnsiTheme="minorHAnsi" w:cs="Google Sans Text"/>
          <w:b/>
        </w:rPr>
        <w:t>eta:</w:t>
      </w:r>
      <w:r w:rsidRPr="00324401">
        <w:rPr>
          <w:rFonts w:asciiTheme="minorHAnsi" w:eastAsia="Google Sans Text" w:hAnsiTheme="minorHAnsi" w:cs="Google Sans Text"/>
        </w:rPr>
        <w:t xml:space="preserve"> Bardzo bezpieczny, przewidywalny przychód, brak ryzyka rynkowego, proste rozliczenia.</w:t>
      </w:r>
    </w:p>
    <w:p w14:paraId="394BBEDE" w14:textId="77777777" w:rsidR="00E42FD1" w:rsidRPr="00324401" w:rsidRDefault="00324401">
      <w:pPr>
        <w:numPr>
          <w:ilvl w:val="1"/>
          <w:numId w:val="10"/>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Wada:</w:t>
      </w:r>
      <w:r w:rsidRPr="00324401">
        <w:rPr>
          <w:rFonts w:asciiTheme="minorHAnsi" w:eastAsia="Google Sans Text" w:hAnsiTheme="minorHAnsi" w:cs="Google Sans Text"/>
        </w:rPr>
        <w:t xml:space="preserve"> Zwykle niższa cena niż w FiP czy aukcjach.</w:t>
      </w:r>
    </w:p>
    <w:p w14:paraId="29E61A60" w14:textId="77777777" w:rsidR="00E42FD1" w:rsidRPr="00324401" w:rsidRDefault="00324401">
      <w:pPr>
        <w:numPr>
          <w:ilvl w:val="0"/>
          <w:numId w:val="9"/>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lastRenderedPageBreak/>
        <w:t>Taryfy Gwarantowane (FiP - Feed-in Premium):</w:t>
      </w:r>
    </w:p>
    <w:p w14:paraId="7B8E928A" w14:textId="77777777" w:rsidR="00E42FD1" w:rsidRPr="00324401" w:rsidRDefault="00324401">
      <w:pPr>
        <w:numPr>
          <w:ilvl w:val="1"/>
          <w:numId w:val="1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 xml:space="preserve">Dla instalacji od 500 kW do mocy określonej w ustawie (np. 1 MW lub </w:t>
      </w:r>
      <w:r w:rsidRPr="00324401">
        <w:rPr>
          <w:rFonts w:asciiTheme="minorHAnsi" w:eastAsia="Google Sans Text" w:hAnsiTheme="minorHAnsi" w:cs="Google Sans Text"/>
        </w:rPr>
        <w:t>więcej dla biogazowni).</w:t>
      </w:r>
    </w:p>
    <w:p w14:paraId="2798A4C8" w14:textId="77777777" w:rsidR="00E42FD1" w:rsidRPr="00324401" w:rsidRDefault="00324401">
      <w:pPr>
        <w:numPr>
          <w:ilvl w:val="1"/>
          <w:numId w:val="1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Inwestor sprzedaje energię na rynku (na Towarowej Giełdzie Energii - TGE, samodzielnie lub przez pośrednika).</w:t>
      </w:r>
    </w:p>
    <w:p w14:paraId="25F64ED2" w14:textId="77777777" w:rsidR="00E42FD1" w:rsidRPr="00324401" w:rsidRDefault="00324401">
      <w:pPr>
        <w:numPr>
          <w:ilvl w:val="1"/>
          <w:numId w:val="1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Dodatkowo otrzymuje dopłatę (premium) stanowiącą różnicę między ceną referencyjną (określoną przez Ministra) a średnią cen</w:t>
      </w:r>
      <w:r w:rsidRPr="00324401">
        <w:rPr>
          <w:rFonts w:asciiTheme="minorHAnsi" w:eastAsia="Google Sans Text" w:hAnsiTheme="minorHAnsi" w:cs="Google Sans Text"/>
        </w:rPr>
        <w:t>ą rynkową energii.</w:t>
      </w:r>
    </w:p>
    <w:p w14:paraId="753A90AC" w14:textId="77777777" w:rsidR="00E42FD1" w:rsidRPr="00324401" w:rsidRDefault="00324401">
      <w:pPr>
        <w:numPr>
          <w:ilvl w:val="1"/>
          <w:numId w:val="1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Zaleta:</w:t>
      </w:r>
      <w:r w:rsidRPr="00324401">
        <w:rPr>
          <w:rFonts w:asciiTheme="minorHAnsi" w:eastAsia="Google Sans Text" w:hAnsiTheme="minorHAnsi" w:cs="Google Sans Text"/>
        </w:rPr>
        <w:t xml:space="preserve"> Potencjalnie wyższe przychody, jeśli ceny rynkowe są wysokie.</w:t>
      </w:r>
    </w:p>
    <w:p w14:paraId="62CD1423" w14:textId="77777777" w:rsidR="00E42FD1" w:rsidRPr="00324401" w:rsidRDefault="00324401">
      <w:pPr>
        <w:numPr>
          <w:ilvl w:val="1"/>
          <w:numId w:val="1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Wada:</w:t>
      </w:r>
      <w:r w:rsidRPr="00324401">
        <w:rPr>
          <w:rFonts w:asciiTheme="minorHAnsi" w:eastAsia="Google Sans Text" w:hAnsiTheme="minorHAnsi" w:cs="Google Sans Text"/>
        </w:rPr>
        <w:t xml:space="preserve"> Bardziej skomplikowane, wymaga aktywnej sprzedaży na rynku (lub umowy z pośrednikiem), pewne ryzyko rynkowe.</w:t>
      </w:r>
    </w:p>
    <w:p w14:paraId="708A7414" w14:textId="77777777" w:rsidR="00E42FD1" w:rsidRPr="00324401" w:rsidRDefault="00324401">
      <w:pPr>
        <w:numPr>
          <w:ilvl w:val="0"/>
          <w:numId w:val="9"/>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System Aukcyjny:</w:t>
      </w:r>
    </w:p>
    <w:p w14:paraId="0A941CA7" w14:textId="77777777" w:rsidR="00E42FD1" w:rsidRPr="00324401" w:rsidRDefault="00324401">
      <w:pPr>
        <w:numPr>
          <w:ilvl w:val="1"/>
          <w:numId w:val="1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 xml:space="preserve">Dla nowych instalacji (zazwyczaj &gt; </w:t>
      </w:r>
      <w:r w:rsidRPr="00324401">
        <w:rPr>
          <w:rFonts w:asciiTheme="minorHAnsi" w:eastAsia="Google Sans Text" w:hAnsiTheme="minorHAnsi" w:cs="Google Sans Text"/>
        </w:rPr>
        <w:t>500kW lub 1 MW).</w:t>
      </w:r>
    </w:p>
    <w:p w14:paraId="6F1BF008" w14:textId="77777777" w:rsidR="00E42FD1" w:rsidRPr="00324401" w:rsidRDefault="00324401">
      <w:pPr>
        <w:numPr>
          <w:ilvl w:val="1"/>
          <w:numId w:val="1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Inwestorzy startują w aukcji organizowanej przez Prezesa URE, licytując cenę, po jakiej zobowiązują się sprzedawać energię.</w:t>
      </w:r>
    </w:p>
    <w:p w14:paraId="1DD45A0B" w14:textId="77777777" w:rsidR="00E42FD1" w:rsidRPr="00324401" w:rsidRDefault="00324401">
      <w:pPr>
        <w:numPr>
          <w:ilvl w:val="1"/>
          <w:numId w:val="1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Wygrywają oferty z najniższą ceną (do wyczerpania wolumenu aukcji).</w:t>
      </w:r>
    </w:p>
    <w:p w14:paraId="768F2AA4" w14:textId="77777777" w:rsidR="00E42FD1" w:rsidRPr="00324401" w:rsidRDefault="00324401">
      <w:pPr>
        <w:numPr>
          <w:ilvl w:val="1"/>
          <w:numId w:val="1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Zaleta:</w:t>
      </w:r>
      <w:r w:rsidRPr="00324401">
        <w:rPr>
          <w:rFonts w:asciiTheme="minorHAnsi" w:eastAsia="Google Sans Text" w:hAnsiTheme="minorHAnsi" w:cs="Google Sans Text"/>
        </w:rPr>
        <w:t xml:space="preserve"> Gwarantowana cena (waloryzowana o infla</w:t>
      </w:r>
      <w:r w:rsidRPr="00324401">
        <w:rPr>
          <w:rFonts w:asciiTheme="minorHAnsi" w:eastAsia="Google Sans Text" w:hAnsiTheme="minorHAnsi" w:cs="Google Sans Text"/>
        </w:rPr>
        <w:t>cję) przez 15 lat.</w:t>
      </w:r>
    </w:p>
    <w:p w14:paraId="6D63BCD4" w14:textId="77777777" w:rsidR="00E42FD1" w:rsidRPr="00324401" w:rsidRDefault="00324401">
      <w:pPr>
        <w:numPr>
          <w:ilvl w:val="1"/>
          <w:numId w:val="1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Wada:</w:t>
      </w:r>
      <w:r w:rsidRPr="00324401">
        <w:rPr>
          <w:rFonts w:asciiTheme="minorHAnsi" w:eastAsia="Google Sans Text" w:hAnsiTheme="minorHAnsi" w:cs="Google Sans Text"/>
        </w:rPr>
        <w:t xml:space="preserve"> Ryzyko przegrania aukcji lub zaoferowania zbyt niskiej ceny, która okaże się nierentowna.</w:t>
      </w:r>
    </w:p>
    <w:p w14:paraId="264FF68C" w14:textId="77777777" w:rsidR="00E42FD1" w:rsidRPr="00324401" w:rsidRDefault="00324401">
      <w:pPr>
        <w:numPr>
          <w:ilvl w:val="0"/>
          <w:numId w:val="9"/>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Autokonsumpcja (Zużycie własne):</w:t>
      </w:r>
    </w:p>
    <w:p w14:paraId="64B21121" w14:textId="77777777" w:rsidR="00E42FD1" w:rsidRPr="00324401" w:rsidRDefault="00324401">
      <w:pPr>
        <w:numPr>
          <w:ilvl w:val="1"/>
          <w:numId w:val="13"/>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Biogazownia zużywa 5-10% produkowanej energii elektrycznej na własne potrzeby (pompy, mieszadła, automatyka,</w:t>
      </w:r>
      <w:r w:rsidRPr="00324401">
        <w:rPr>
          <w:rFonts w:asciiTheme="minorHAnsi" w:eastAsia="Google Sans Text" w:hAnsiTheme="minorHAnsi" w:cs="Google Sans Text"/>
        </w:rPr>
        <w:t xml:space="preserve"> oświetlenie).</w:t>
      </w:r>
    </w:p>
    <w:p w14:paraId="1E4808A4" w14:textId="77777777" w:rsidR="00E42FD1" w:rsidRPr="00324401" w:rsidRDefault="00324401">
      <w:pPr>
        <w:numPr>
          <w:ilvl w:val="1"/>
          <w:numId w:val="13"/>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Ta energia nie jest sprzedawana, ale stanowi oszczędność, ponieważ inwestor nie musi jej kupować z sieci (po wysokich cenach detalicznych, obejmujących opłaty dystrybucyjne).</w:t>
      </w:r>
    </w:p>
    <w:p w14:paraId="4C803366" w14:textId="77777777" w:rsidR="00E42FD1" w:rsidRPr="00324401" w:rsidRDefault="00324401">
      <w:pPr>
        <w:numPr>
          <w:ilvl w:val="1"/>
          <w:numId w:val="13"/>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Rozszerzenie autokonsumpcji na całe gospodarstwo rolne (oświetleni</w:t>
      </w:r>
      <w:r w:rsidRPr="00324401">
        <w:rPr>
          <w:rFonts w:asciiTheme="minorHAnsi" w:eastAsia="Google Sans Text" w:hAnsiTheme="minorHAnsi" w:cs="Google Sans Text"/>
        </w:rPr>
        <w:t>e, wentylacja w budynkach inwentarskich, chłodnie) dodatkowo zwiększa opłacalność.</w:t>
      </w:r>
    </w:p>
    <w:p w14:paraId="6D40B641" w14:textId="77777777" w:rsidR="00E42FD1" w:rsidRPr="00324401" w:rsidRDefault="00324401">
      <w:pPr>
        <w:numPr>
          <w:ilvl w:val="0"/>
          <w:numId w:val="9"/>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Gwarancje Pochodzenia:</w:t>
      </w:r>
    </w:p>
    <w:p w14:paraId="669CD286" w14:textId="77777777" w:rsidR="00E42FD1" w:rsidRPr="00324401" w:rsidRDefault="00324401">
      <w:pPr>
        <w:numPr>
          <w:ilvl w:val="1"/>
          <w:numId w:val="1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To elektroniczny dokument potwierdzający, że 1 MWh energii elektrycznej została wytworzona z OZE.</w:t>
      </w:r>
    </w:p>
    <w:p w14:paraId="294542B6" w14:textId="77777777" w:rsidR="00E42FD1" w:rsidRPr="00324401" w:rsidRDefault="00324401">
      <w:pPr>
        <w:numPr>
          <w:ilvl w:val="1"/>
          <w:numId w:val="14"/>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 xml:space="preserve">Są wydawane przez URE i mogą być sprzedawane na TGE </w:t>
      </w:r>
      <w:r w:rsidRPr="00324401">
        <w:rPr>
          <w:rFonts w:asciiTheme="minorHAnsi" w:eastAsia="Google Sans Text" w:hAnsiTheme="minorHAnsi" w:cs="Google Sans Text"/>
        </w:rPr>
        <w:t>jako oddzielny produkt.</w:t>
      </w:r>
    </w:p>
    <w:p w14:paraId="611D0666" w14:textId="77777777" w:rsidR="00E42FD1" w:rsidRPr="00324401" w:rsidRDefault="00324401">
      <w:pPr>
        <w:numPr>
          <w:ilvl w:val="1"/>
          <w:numId w:val="14"/>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rPr>
        <w:t>Firmy kupują je, aby wykazać się "zieloną" energią. Stanowią dodatkowy, choć stosunkowo niewielki przychód dla biogazowni (kilka-kilkanaście zł za 1 MWh).</w:t>
      </w:r>
    </w:p>
    <w:p w14:paraId="318B5F6E" w14:textId="77777777" w:rsidR="00E42FD1" w:rsidRPr="00324401" w:rsidRDefault="00324401">
      <w:pPr>
        <w:pBdr>
          <w:top w:val="nil"/>
          <w:left w:val="nil"/>
          <w:bottom w:val="nil"/>
          <w:right w:val="nil"/>
          <w:between w:val="nil"/>
        </w:pBdr>
        <w:spacing w:before="120" w:after="240" w:line="275" w:lineRule="auto"/>
        <w:rPr>
          <w:rFonts w:asciiTheme="minorHAnsi" w:eastAsia="Google Sans Text" w:hAnsiTheme="minorHAnsi" w:cs="Google Sans Text"/>
          <w:i/>
        </w:rPr>
      </w:pPr>
      <w:r w:rsidRPr="00324401">
        <w:rPr>
          <w:rFonts w:asciiTheme="minorHAnsi" w:eastAsia="Google Sans Text" w:hAnsiTheme="minorHAnsi" w:cs="Google Sans Text"/>
          <w:i/>
        </w:rPr>
        <w:t>(Koniec części wykładowej. Czas na pytania wyjaśniające.)</w:t>
      </w:r>
    </w:p>
    <w:p w14:paraId="5A68CB09" w14:textId="3FCE7D00" w:rsidR="00E42FD1" w:rsidRPr="00324401" w:rsidRDefault="00324401" w:rsidP="00DC0963">
      <w:pPr>
        <w:pStyle w:val="Heading2"/>
        <w:spacing w:before="0" w:after="120" w:line="275" w:lineRule="auto"/>
        <w:rPr>
          <w:rFonts w:asciiTheme="minorHAnsi" w:eastAsia="Google Sans" w:hAnsiTheme="minorHAnsi" w:cs="Google Sans"/>
        </w:rPr>
      </w:pPr>
      <w:r w:rsidRPr="00324401">
        <w:rPr>
          <w:rFonts w:asciiTheme="minorHAnsi" w:eastAsia="Google Sans" w:hAnsiTheme="minorHAnsi" w:cs="Google Sans"/>
        </w:rPr>
        <w:t xml:space="preserve">Część 2: </w:t>
      </w:r>
    </w:p>
    <w:p w14:paraId="6A57F297" w14:textId="77777777" w:rsidR="00324401" w:rsidRPr="00324401" w:rsidRDefault="00324401" w:rsidP="00324401">
      <w:pPr>
        <w:rPr>
          <w:rFonts w:asciiTheme="minorHAnsi" w:hAnsiTheme="minorHAnsi"/>
          <w:b/>
          <w:bCs/>
        </w:rPr>
      </w:pPr>
      <w:r w:rsidRPr="00324401">
        <w:rPr>
          <w:rFonts w:asciiTheme="minorHAnsi" w:hAnsiTheme="minorHAnsi"/>
          <w:b/>
          <w:bCs/>
        </w:rPr>
        <w:t>Część 2: Dyskusja Moderowana</w:t>
      </w:r>
    </w:p>
    <w:p w14:paraId="4B02684A" w14:textId="77777777" w:rsidR="00324401" w:rsidRPr="00324401" w:rsidRDefault="00324401" w:rsidP="00324401">
      <w:pPr>
        <w:rPr>
          <w:rFonts w:asciiTheme="minorHAnsi" w:hAnsiTheme="minorHAnsi"/>
        </w:rPr>
      </w:pPr>
      <w:r w:rsidRPr="00324401">
        <w:rPr>
          <w:rFonts w:asciiTheme="minorHAnsi" w:hAnsiTheme="minorHAnsi"/>
          <w:b/>
          <w:bCs/>
        </w:rPr>
        <w:t>(Szacowany czas: 25 minut)</w:t>
      </w:r>
    </w:p>
    <w:p w14:paraId="3667CC21" w14:textId="77777777" w:rsidR="00324401" w:rsidRPr="00324401" w:rsidRDefault="00324401" w:rsidP="00324401">
      <w:pPr>
        <w:rPr>
          <w:rFonts w:asciiTheme="minorHAnsi" w:hAnsiTheme="minorHAnsi"/>
        </w:rPr>
      </w:pPr>
      <w:r w:rsidRPr="00324401">
        <w:rPr>
          <w:rFonts w:asciiTheme="minorHAnsi" w:hAnsiTheme="minorHAnsi"/>
        </w:rPr>
        <w:t>Teraz, gdy omówiliśmy technologię CHP i jej integrację z siecią, chciałbym otworzyć dyskusję na temat praktycznych aspektów i wyzwań:</w:t>
      </w:r>
    </w:p>
    <w:p w14:paraId="43E786E2" w14:textId="77777777" w:rsidR="00324401" w:rsidRPr="00324401" w:rsidRDefault="00324401" w:rsidP="00324401">
      <w:pPr>
        <w:numPr>
          <w:ilvl w:val="0"/>
          <w:numId w:val="36"/>
        </w:numPr>
        <w:rPr>
          <w:rFonts w:asciiTheme="minorHAnsi" w:hAnsiTheme="minorHAnsi"/>
        </w:rPr>
      </w:pPr>
      <w:r w:rsidRPr="00324401">
        <w:rPr>
          <w:rFonts w:asciiTheme="minorHAnsi" w:hAnsiTheme="minorHAnsi"/>
          <w:b/>
          <w:bCs/>
        </w:rPr>
        <w:t xml:space="preserve">Zmiana w technologii CHP: </w:t>
      </w:r>
      <w:r w:rsidRPr="00324401">
        <w:rPr>
          <w:rFonts w:asciiTheme="minorHAnsi" w:hAnsiTheme="minorHAnsi"/>
          <w:bCs/>
        </w:rPr>
        <w:t>Kiedyś popularne były adaptowane silniki dwupaliwowe (Diesel-gaz), dziś standardem w nowych biogazowniach rolniczych są dedykowane silniki o zapłonie iskrowym (Otto), pracujące w trybie lean-burn . Jakie czynniki technologiczne, ekonomiczne i środowiskowe Waszym zdaniem spowodowały odejście od silników dwupaliwowych na rzecz silników Otto w tej branży? Jakie były g</w:t>
      </w:r>
      <w:bookmarkStart w:id="0" w:name="_GoBack"/>
      <w:bookmarkEnd w:id="0"/>
      <w:r w:rsidRPr="00324401">
        <w:rPr>
          <w:rFonts w:asciiTheme="minorHAnsi" w:hAnsiTheme="minorHAnsi"/>
          <w:bCs/>
        </w:rPr>
        <w:t xml:space="preserve">łówne wady silników </w:t>
      </w:r>
      <w:r w:rsidRPr="00324401">
        <w:rPr>
          <w:rFonts w:asciiTheme="minorHAnsi" w:hAnsiTheme="minorHAnsi"/>
          <w:bCs/>
        </w:rPr>
        <w:lastRenderedPageBreak/>
        <w:t>Diesel-gaz , które przyczyniły się do tej zmiany?</w:t>
      </w:r>
    </w:p>
    <w:p w14:paraId="20E94CD0" w14:textId="242E705C" w:rsidR="00324401" w:rsidRPr="00324401" w:rsidRDefault="00324401" w:rsidP="00324401">
      <w:pPr>
        <w:numPr>
          <w:ilvl w:val="0"/>
          <w:numId w:val="36"/>
        </w:numPr>
        <w:rPr>
          <w:rFonts w:asciiTheme="minorHAnsi" w:hAnsiTheme="minorHAnsi"/>
        </w:rPr>
      </w:pPr>
      <w:r w:rsidRPr="00324401">
        <w:rPr>
          <w:rFonts w:asciiTheme="minorHAnsi" w:hAnsiTheme="minorHAnsi"/>
          <w:b/>
          <w:bCs/>
        </w:rPr>
        <w:t>Wykorzystanie ciepła:</w:t>
      </w:r>
      <w:r w:rsidRPr="00324401">
        <w:rPr>
          <w:rFonts w:asciiTheme="minorHAnsi" w:hAnsiTheme="minorHAnsi"/>
        </w:rPr>
        <w:t xml:space="preserve"> Jakie są najbardziej realistyczne i opłacalne sposoby zagospodarowania nadmiarowego ciepła z CHP w typowym polskim gospodarstwie rolnym lub jego otoczeniu? Jakie bariery (techniczne, ekonomiczne, logistyczne) najczęściej utrudniają efektywne wykorzystanie ciepła?</w:t>
      </w:r>
    </w:p>
    <w:p w14:paraId="313483BB" w14:textId="77777777" w:rsidR="00324401" w:rsidRPr="00324401" w:rsidRDefault="00324401" w:rsidP="00324401">
      <w:pPr>
        <w:numPr>
          <w:ilvl w:val="0"/>
          <w:numId w:val="36"/>
        </w:numPr>
        <w:rPr>
          <w:rFonts w:asciiTheme="minorHAnsi" w:hAnsiTheme="minorHAnsi"/>
        </w:rPr>
      </w:pPr>
      <w:r w:rsidRPr="00324401">
        <w:rPr>
          <w:rFonts w:asciiTheme="minorHAnsi" w:hAnsiTheme="minorHAnsi"/>
          <w:b/>
          <w:bCs/>
        </w:rPr>
        <w:t>Przyłączenie do sieci:</w:t>
      </w:r>
      <w:r w:rsidRPr="00324401">
        <w:rPr>
          <w:rFonts w:asciiTheme="minorHAnsi" w:hAnsiTheme="minorHAnsi"/>
        </w:rPr>
        <w:t xml:space="preserve"> Procedura przyłączeniowa bywa długa i kosztowna. Jakie są największe "wąskie gardła" i ryzyka w tym procesie z perspektywy inwestora? Czy skrócenie terminu wydania WP do 90 dni realnie przyspiesza inwestycje </w:t>
      </w:r>
      <w:r w:rsidRPr="00324401">
        <w:rPr>
          <w:rFonts w:asciiTheme="minorHAnsi" w:hAnsiTheme="minorHAnsi"/>
          <w:vertAlign w:val="superscript"/>
        </w:rPr>
        <w:t>1111</w:t>
      </w:r>
      <w:r w:rsidRPr="00324401">
        <w:rPr>
          <w:rFonts w:asciiTheme="minorHAnsi" w:hAnsiTheme="minorHAnsi"/>
        </w:rPr>
        <w:t>?</w:t>
      </w:r>
    </w:p>
    <w:p w14:paraId="46AE714E" w14:textId="77777777" w:rsidR="00324401" w:rsidRPr="00324401" w:rsidRDefault="00324401" w:rsidP="00324401">
      <w:pPr>
        <w:numPr>
          <w:ilvl w:val="0"/>
          <w:numId w:val="36"/>
        </w:numPr>
        <w:rPr>
          <w:rFonts w:asciiTheme="minorHAnsi" w:hAnsiTheme="minorHAnsi"/>
        </w:rPr>
      </w:pPr>
      <w:r w:rsidRPr="00324401">
        <w:rPr>
          <w:rFonts w:asciiTheme="minorHAnsi" w:hAnsiTheme="minorHAnsi"/>
          <w:b/>
          <w:bCs/>
        </w:rPr>
        <w:t>Systemy wsparcia:</w:t>
      </w:r>
      <w:r w:rsidRPr="00324401">
        <w:rPr>
          <w:rFonts w:asciiTheme="minorHAnsi" w:hAnsiTheme="minorHAnsi"/>
        </w:rPr>
        <w:t xml:space="preserve"> Który system wsparcia (FiT, FiP, Aukcje) wydaje się najbardziej atrakcyjny dla nowej biogazowni rolniczej o mocy np. 499 kWel, a który dla instalacji 1 MWel? Jakie czynniki (poza ceną) należy wziąć pod uwagę przy wyborze </w:t>
      </w:r>
      <w:r w:rsidRPr="00324401">
        <w:rPr>
          <w:rFonts w:asciiTheme="minorHAnsi" w:hAnsiTheme="minorHAnsi"/>
          <w:vertAlign w:val="superscript"/>
        </w:rPr>
        <w:t>2</w:t>
      </w:r>
      <w:r w:rsidRPr="00324401">
        <w:rPr>
          <w:rFonts w:asciiTheme="minorHAnsi" w:hAnsiTheme="minorHAnsi"/>
        </w:rPr>
        <w:t>?</w:t>
      </w:r>
    </w:p>
    <w:p w14:paraId="2D3D850B" w14:textId="77777777" w:rsidR="00324401" w:rsidRPr="00324401" w:rsidRDefault="00324401" w:rsidP="00324401">
      <w:pPr>
        <w:numPr>
          <w:ilvl w:val="0"/>
          <w:numId w:val="36"/>
        </w:numPr>
        <w:rPr>
          <w:rFonts w:asciiTheme="minorHAnsi" w:hAnsiTheme="minorHAnsi"/>
        </w:rPr>
      </w:pPr>
      <w:r w:rsidRPr="00324401">
        <w:rPr>
          <w:rFonts w:asciiTheme="minorHAnsi" w:hAnsiTheme="minorHAnsi"/>
          <w:b/>
          <w:bCs/>
        </w:rPr>
        <w:t>Autokonsumpcja:</w:t>
      </w:r>
      <w:r w:rsidRPr="00324401">
        <w:rPr>
          <w:rFonts w:asciiTheme="minorHAnsi" w:hAnsiTheme="minorHAnsi"/>
        </w:rPr>
        <w:t xml:space="preserve"> Jakie są praktyczne możliwości zwiększenia zużycia własnego energii elektrycznej i cieplnej w gospodarstwie rolnym posiadającym biogazownię </w:t>
      </w:r>
      <w:r w:rsidRPr="00324401">
        <w:rPr>
          <w:rFonts w:asciiTheme="minorHAnsi" w:hAnsiTheme="minorHAnsi"/>
          <w:vertAlign w:val="superscript"/>
        </w:rPr>
        <w:t>3</w:t>
      </w:r>
      <w:r w:rsidRPr="00324401">
        <w:rPr>
          <w:rFonts w:asciiTheme="minorHAnsi" w:hAnsiTheme="minorHAnsi"/>
        </w:rPr>
        <w:t>? Jakie inwestycje dodatkowe mogą być potrzebne?</w:t>
      </w:r>
    </w:p>
    <w:p w14:paraId="2C25CA51" w14:textId="537EBD76" w:rsidR="00324401" w:rsidRPr="00324401" w:rsidRDefault="00324401" w:rsidP="00324401">
      <w:pPr>
        <w:rPr>
          <w:rFonts w:asciiTheme="minorHAnsi" w:hAnsiTheme="minorHAnsi"/>
        </w:rPr>
      </w:pPr>
    </w:p>
    <w:p w14:paraId="40CF5EAA" w14:textId="77777777" w:rsidR="00324401" w:rsidRPr="00324401" w:rsidRDefault="00324401" w:rsidP="00324401">
      <w:pPr>
        <w:rPr>
          <w:rFonts w:asciiTheme="minorHAnsi" w:hAnsiTheme="minorHAnsi"/>
          <w:b/>
          <w:bCs/>
        </w:rPr>
      </w:pPr>
      <w:r w:rsidRPr="00324401">
        <w:rPr>
          <w:rFonts w:asciiTheme="minorHAnsi" w:hAnsiTheme="minorHAnsi"/>
          <w:b/>
          <w:bCs/>
        </w:rPr>
        <w:t>Część 3: Ćwiczenia Praktyczne - Analiza Danych i Dobór Rozwiązań CHP</w:t>
      </w:r>
    </w:p>
    <w:p w14:paraId="6E6F8668" w14:textId="77777777" w:rsidR="00324401" w:rsidRPr="00324401" w:rsidRDefault="00324401" w:rsidP="00324401">
      <w:pPr>
        <w:rPr>
          <w:rFonts w:asciiTheme="minorHAnsi" w:hAnsiTheme="minorHAnsi"/>
        </w:rPr>
      </w:pPr>
      <w:r w:rsidRPr="00324401">
        <w:rPr>
          <w:rFonts w:asciiTheme="minorHAnsi" w:hAnsiTheme="minorHAnsi"/>
          <w:b/>
          <w:bCs/>
        </w:rPr>
        <w:t>(Szacowany czas: 30 minut)</w:t>
      </w:r>
    </w:p>
    <w:p w14:paraId="47843E24" w14:textId="77777777" w:rsidR="00324401" w:rsidRPr="00324401" w:rsidRDefault="00324401" w:rsidP="00324401">
      <w:pPr>
        <w:rPr>
          <w:rFonts w:asciiTheme="minorHAnsi" w:hAnsiTheme="minorHAnsi"/>
        </w:rPr>
      </w:pPr>
      <w:r w:rsidRPr="00324401">
        <w:rPr>
          <w:rFonts w:asciiTheme="minorHAnsi" w:hAnsiTheme="minorHAnsi"/>
        </w:rPr>
        <w:t>Podzielimy się teraz na 3-4 osobowe grupy. Każda grupa otrzyma dane dotyczące hipotetycznej biogazowni rolniczej oraz uproszczone karty informacyjne (fragmenty DTR) 3 różnych jednostek kogeneracyjnych.</w:t>
      </w:r>
    </w:p>
    <w:p w14:paraId="3750B662" w14:textId="77777777" w:rsidR="00324401" w:rsidRPr="00324401" w:rsidRDefault="00324401" w:rsidP="00324401">
      <w:pPr>
        <w:rPr>
          <w:rFonts w:asciiTheme="minorHAnsi" w:hAnsiTheme="minorHAnsi"/>
        </w:rPr>
      </w:pPr>
      <w:r w:rsidRPr="00324401">
        <w:rPr>
          <w:rFonts w:asciiTheme="minorHAnsi" w:hAnsiTheme="minorHAnsi"/>
        </w:rPr>
        <w:t>Scenariusz:</w:t>
      </w:r>
    </w:p>
    <w:p w14:paraId="2E719622" w14:textId="77777777" w:rsidR="00324401" w:rsidRPr="00324401" w:rsidRDefault="00324401" w:rsidP="00324401">
      <w:pPr>
        <w:rPr>
          <w:rFonts w:asciiTheme="minorHAnsi" w:hAnsiTheme="minorHAnsi"/>
        </w:rPr>
      </w:pPr>
      <w:r w:rsidRPr="00324401">
        <w:rPr>
          <w:rFonts w:asciiTheme="minorHAnsi" w:hAnsiTheme="minorHAnsi"/>
        </w:rPr>
        <w:t>Planowana biogazownia rolnicza będzie produkować stabilnie 240 Nm³/h biogazu o zawartości 58% metanu (CH</w:t>
      </w:r>
      <w:r w:rsidRPr="00324401">
        <w:rPr>
          <w:rFonts w:asciiTheme="minorHAnsi" w:hAnsiTheme="minorHAnsi" w:cs="Cambria Math"/>
        </w:rPr>
        <w:t>₄</w:t>
      </w:r>
      <w:r w:rsidRPr="00324401">
        <w:rPr>
          <w:rFonts w:asciiTheme="minorHAnsi" w:hAnsiTheme="minorHAnsi"/>
        </w:rPr>
        <w:t>). Instalacja ma stałe zapotrzebowanie na ciepło procesowe (ogrzewanie fermentorów) wynoszące 120 kWth przez cały rok 4. Dodatkowo, w okresie grzewczym (przyjmijmy 6 miesięcy) występuje zapotrzebowanie na ogrzewanie budynków gospodarstwa na poziomie 80 kWth. Latem to zapotrzebowanie spada do zera. Biogaz będzie spełniał typowe wymagania jakościowe (np. H</w:t>
      </w:r>
      <w:r w:rsidRPr="00324401">
        <w:rPr>
          <w:rFonts w:asciiTheme="minorHAnsi" w:hAnsiTheme="minorHAnsi" w:cs="Cambria Math"/>
        </w:rPr>
        <w:t>₂</w:t>
      </w:r>
      <w:r w:rsidRPr="00324401">
        <w:rPr>
          <w:rFonts w:asciiTheme="minorHAnsi" w:hAnsiTheme="minorHAnsi"/>
        </w:rPr>
        <w:t>S &lt; 200 ppm, odpowiednio osuszony).</w:t>
      </w:r>
    </w:p>
    <w:p w14:paraId="56996999" w14:textId="77777777" w:rsidR="00324401" w:rsidRPr="00324401" w:rsidRDefault="00324401" w:rsidP="00324401">
      <w:pPr>
        <w:rPr>
          <w:rFonts w:asciiTheme="minorHAnsi" w:hAnsiTheme="minorHAnsi"/>
        </w:rPr>
      </w:pPr>
      <w:r w:rsidRPr="00324401">
        <w:rPr>
          <w:rFonts w:asciiTheme="minorHAnsi" w:hAnsiTheme="minorHAnsi"/>
          <w:b/>
          <w:bCs/>
        </w:rPr>
        <w:t>Uproszczone Karty Informacyjne Jednostek CHP (Fragmenty DTR):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1"/>
        <w:gridCol w:w="2004"/>
        <w:gridCol w:w="2027"/>
        <w:gridCol w:w="2172"/>
      </w:tblGrid>
      <w:tr w:rsidR="00324401" w:rsidRPr="00324401" w14:paraId="06F3CE9B" w14:textId="77777777" w:rsidTr="00324401">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674E4DA" w14:textId="77777777" w:rsidR="00324401" w:rsidRPr="00324401" w:rsidRDefault="00324401" w:rsidP="00324401">
            <w:pPr>
              <w:rPr>
                <w:rFonts w:asciiTheme="minorHAnsi" w:hAnsiTheme="minorHAnsi"/>
              </w:rPr>
            </w:pPr>
            <w:r w:rsidRPr="00324401">
              <w:rPr>
                <w:rFonts w:asciiTheme="minorHAnsi" w:hAnsiTheme="minorHAnsi"/>
                <w:b/>
                <w:bCs/>
              </w:rPr>
              <w:t>Parametr</w:t>
            </w:r>
          </w:p>
        </w:tc>
        <w:tc>
          <w:tcPr>
            <w:tcW w:w="0" w:type="auto"/>
            <w:tcBorders>
              <w:top w:val="single" w:sz="6" w:space="0" w:color="auto"/>
              <w:left w:val="single" w:sz="6" w:space="0" w:color="auto"/>
              <w:bottom w:val="single" w:sz="6" w:space="0" w:color="auto"/>
              <w:right w:val="single" w:sz="6" w:space="0" w:color="auto"/>
            </w:tcBorders>
            <w:vAlign w:val="center"/>
            <w:hideMark/>
          </w:tcPr>
          <w:p w14:paraId="5D7C69F7" w14:textId="77777777" w:rsidR="00324401" w:rsidRPr="00324401" w:rsidRDefault="00324401" w:rsidP="00324401">
            <w:pPr>
              <w:rPr>
                <w:rFonts w:asciiTheme="minorHAnsi" w:hAnsiTheme="minorHAnsi"/>
              </w:rPr>
            </w:pPr>
            <w:r w:rsidRPr="00324401">
              <w:rPr>
                <w:rFonts w:asciiTheme="minorHAnsi" w:hAnsiTheme="minorHAnsi"/>
                <w:b/>
                <w:bCs/>
              </w:rPr>
              <w:t>Jednostka Alfa (Producent X)</w:t>
            </w:r>
          </w:p>
        </w:tc>
        <w:tc>
          <w:tcPr>
            <w:tcW w:w="0" w:type="auto"/>
            <w:tcBorders>
              <w:top w:val="single" w:sz="6" w:space="0" w:color="auto"/>
              <w:left w:val="single" w:sz="6" w:space="0" w:color="auto"/>
              <w:bottom w:val="single" w:sz="6" w:space="0" w:color="auto"/>
              <w:right w:val="single" w:sz="6" w:space="0" w:color="auto"/>
            </w:tcBorders>
            <w:vAlign w:val="center"/>
            <w:hideMark/>
          </w:tcPr>
          <w:p w14:paraId="08FA22B8" w14:textId="77777777" w:rsidR="00324401" w:rsidRPr="00324401" w:rsidRDefault="00324401" w:rsidP="00324401">
            <w:pPr>
              <w:rPr>
                <w:rFonts w:asciiTheme="minorHAnsi" w:hAnsiTheme="minorHAnsi"/>
              </w:rPr>
            </w:pPr>
            <w:r w:rsidRPr="00324401">
              <w:rPr>
                <w:rFonts w:asciiTheme="minorHAnsi" w:hAnsiTheme="minorHAnsi"/>
                <w:b/>
                <w:bCs/>
              </w:rPr>
              <w:t>Jednostka Beta (Producent Y)</w:t>
            </w:r>
          </w:p>
        </w:tc>
        <w:tc>
          <w:tcPr>
            <w:tcW w:w="0" w:type="auto"/>
            <w:tcBorders>
              <w:top w:val="single" w:sz="6" w:space="0" w:color="auto"/>
              <w:left w:val="single" w:sz="6" w:space="0" w:color="auto"/>
              <w:bottom w:val="single" w:sz="6" w:space="0" w:color="auto"/>
              <w:right w:val="single" w:sz="6" w:space="0" w:color="auto"/>
            </w:tcBorders>
            <w:vAlign w:val="center"/>
            <w:hideMark/>
          </w:tcPr>
          <w:p w14:paraId="7F12953A" w14:textId="77777777" w:rsidR="00324401" w:rsidRPr="00324401" w:rsidRDefault="00324401" w:rsidP="00324401">
            <w:pPr>
              <w:rPr>
                <w:rFonts w:asciiTheme="minorHAnsi" w:hAnsiTheme="minorHAnsi"/>
              </w:rPr>
            </w:pPr>
            <w:r w:rsidRPr="00324401">
              <w:rPr>
                <w:rFonts w:asciiTheme="minorHAnsi" w:hAnsiTheme="minorHAnsi"/>
                <w:b/>
                <w:bCs/>
              </w:rPr>
              <w:t>Jednostka Gamma (Producent Z)</w:t>
            </w:r>
          </w:p>
        </w:tc>
      </w:tr>
      <w:tr w:rsidR="00324401" w:rsidRPr="00324401" w14:paraId="3EC6C801" w14:textId="77777777" w:rsidTr="0032440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249BF96" w14:textId="77777777" w:rsidR="00324401" w:rsidRPr="00324401" w:rsidRDefault="00324401" w:rsidP="00324401">
            <w:pPr>
              <w:rPr>
                <w:rFonts w:asciiTheme="minorHAnsi" w:hAnsiTheme="minorHAnsi"/>
              </w:rPr>
            </w:pPr>
            <w:r w:rsidRPr="00324401">
              <w:rPr>
                <w:rFonts w:asciiTheme="minorHAnsi" w:hAnsiTheme="minorHAnsi"/>
                <w:b/>
                <w:bCs/>
              </w:rPr>
              <w:t>Moc elektryczna (kWel)</w:t>
            </w:r>
          </w:p>
        </w:tc>
        <w:tc>
          <w:tcPr>
            <w:tcW w:w="0" w:type="auto"/>
            <w:tcBorders>
              <w:top w:val="single" w:sz="6" w:space="0" w:color="auto"/>
              <w:left w:val="single" w:sz="6" w:space="0" w:color="auto"/>
              <w:bottom w:val="single" w:sz="6" w:space="0" w:color="auto"/>
              <w:right w:val="single" w:sz="6" w:space="0" w:color="auto"/>
            </w:tcBorders>
            <w:vAlign w:val="center"/>
            <w:hideMark/>
          </w:tcPr>
          <w:p w14:paraId="7247CEEE" w14:textId="77777777" w:rsidR="00324401" w:rsidRPr="00324401" w:rsidRDefault="00324401" w:rsidP="00324401">
            <w:pPr>
              <w:rPr>
                <w:rFonts w:asciiTheme="minorHAnsi" w:hAnsiTheme="minorHAnsi"/>
              </w:rPr>
            </w:pPr>
            <w:r w:rsidRPr="00324401">
              <w:rPr>
                <w:rFonts w:asciiTheme="minorHAnsi" w:hAnsiTheme="minorHAnsi"/>
              </w:rPr>
              <w:t>400</w:t>
            </w:r>
          </w:p>
        </w:tc>
        <w:tc>
          <w:tcPr>
            <w:tcW w:w="0" w:type="auto"/>
            <w:tcBorders>
              <w:top w:val="single" w:sz="6" w:space="0" w:color="auto"/>
              <w:left w:val="single" w:sz="6" w:space="0" w:color="auto"/>
              <w:bottom w:val="single" w:sz="6" w:space="0" w:color="auto"/>
              <w:right w:val="single" w:sz="6" w:space="0" w:color="auto"/>
            </w:tcBorders>
            <w:vAlign w:val="center"/>
            <w:hideMark/>
          </w:tcPr>
          <w:p w14:paraId="47DA80D0" w14:textId="77777777" w:rsidR="00324401" w:rsidRPr="00324401" w:rsidRDefault="00324401" w:rsidP="00324401">
            <w:pPr>
              <w:rPr>
                <w:rFonts w:asciiTheme="minorHAnsi" w:hAnsiTheme="minorHAnsi"/>
              </w:rPr>
            </w:pPr>
            <w:r w:rsidRPr="00324401">
              <w:rPr>
                <w:rFonts w:asciiTheme="minorHAnsi" w:hAnsiTheme="minorHAnsi"/>
              </w:rPr>
              <w:t>500</w:t>
            </w:r>
          </w:p>
        </w:tc>
        <w:tc>
          <w:tcPr>
            <w:tcW w:w="0" w:type="auto"/>
            <w:tcBorders>
              <w:top w:val="single" w:sz="6" w:space="0" w:color="auto"/>
              <w:left w:val="single" w:sz="6" w:space="0" w:color="auto"/>
              <w:bottom w:val="single" w:sz="6" w:space="0" w:color="auto"/>
              <w:right w:val="single" w:sz="6" w:space="0" w:color="auto"/>
            </w:tcBorders>
            <w:vAlign w:val="center"/>
            <w:hideMark/>
          </w:tcPr>
          <w:p w14:paraId="248C8B3F" w14:textId="77777777" w:rsidR="00324401" w:rsidRPr="00324401" w:rsidRDefault="00324401" w:rsidP="00324401">
            <w:pPr>
              <w:rPr>
                <w:rFonts w:asciiTheme="minorHAnsi" w:hAnsiTheme="minorHAnsi"/>
              </w:rPr>
            </w:pPr>
            <w:r w:rsidRPr="00324401">
              <w:rPr>
                <w:rFonts w:asciiTheme="minorHAnsi" w:hAnsiTheme="minorHAnsi"/>
              </w:rPr>
              <w:t>600</w:t>
            </w:r>
          </w:p>
        </w:tc>
      </w:tr>
      <w:tr w:rsidR="00324401" w:rsidRPr="00324401" w14:paraId="29521F23" w14:textId="77777777" w:rsidTr="0032440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AF39937" w14:textId="77777777" w:rsidR="00324401" w:rsidRPr="00324401" w:rsidRDefault="00324401" w:rsidP="00324401">
            <w:pPr>
              <w:rPr>
                <w:rFonts w:asciiTheme="minorHAnsi" w:hAnsiTheme="minorHAnsi"/>
              </w:rPr>
            </w:pPr>
            <w:r w:rsidRPr="00324401">
              <w:rPr>
                <w:rFonts w:asciiTheme="minorHAnsi" w:hAnsiTheme="minorHAnsi"/>
                <w:b/>
                <w:bCs/>
              </w:rPr>
              <w:t>Moc cieplna (kWth)</w:t>
            </w:r>
          </w:p>
        </w:tc>
        <w:tc>
          <w:tcPr>
            <w:tcW w:w="0" w:type="auto"/>
            <w:tcBorders>
              <w:top w:val="single" w:sz="6" w:space="0" w:color="auto"/>
              <w:left w:val="single" w:sz="6" w:space="0" w:color="auto"/>
              <w:bottom w:val="single" w:sz="6" w:space="0" w:color="auto"/>
              <w:right w:val="single" w:sz="6" w:space="0" w:color="auto"/>
            </w:tcBorders>
            <w:vAlign w:val="center"/>
            <w:hideMark/>
          </w:tcPr>
          <w:p w14:paraId="1E49BE6E" w14:textId="77777777" w:rsidR="00324401" w:rsidRPr="00324401" w:rsidRDefault="00324401" w:rsidP="00324401">
            <w:pPr>
              <w:rPr>
                <w:rFonts w:asciiTheme="minorHAnsi" w:hAnsiTheme="minorHAnsi"/>
              </w:rPr>
            </w:pPr>
            <w:r w:rsidRPr="00324401">
              <w:rPr>
                <w:rFonts w:asciiTheme="minorHAnsi" w:hAnsiTheme="minorHAnsi"/>
              </w:rPr>
              <w:t>440</w:t>
            </w:r>
          </w:p>
        </w:tc>
        <w:tc>
          <w:tcPr>
            <w:tcW w:w="0" w:type="auto"/>
            <w:tcBorders>
              <w:top w:val="single" w:sz="6" w:space="0" w:color="auto"/>
              <w:left w:val="single" w:sz="6" w:space="0" w:color="auto"/>
              <w:bottom w:val="single" w:sz="6" w:space="0" w:color="auto"/>
              <w:right w:val="single" w:sz="6" w:space="0" w:color="auto"/>
            </w:tcBorders>
            <w:vAlign w:val="center"/>
            <w:hideMark/>
          </w:tcPr>
          <w:p w14:paraId="0E1B47B9" w14:textId="77777777" w:rsidR="00324401" w:rsidRPr="00324401" w:rsidRDefault="00324401" w:rsidP="00324401">
            <w:pPr>
              <w:rPr>
                <w:rFonts w:asciiTheme="minorHAnsi" w:hAnsiTheme="minorHAnsi"/>
              </w:rPr>
            </w:pPr>
            <w:r w:rsidRPr="00324401">
              <w:rPr>
                <w:rFonts w:asciiTheme="minorHAnsi" w:hAnsiTheme="minorHAnsi"/>
              </w:rPr>
              <w:t>550</w:t>
            </w:r>
          </w:p>
        </w:tc>
        <w:tc>
          <w:tcPr>
            <w:tcW w:w="0" w:type="auto"/>
            <w:tcBorders>
              <w:top w:val="single" w:sz="6" w:space="0" w:color="auto"/>
              <w:left w:val="single" w:sz="6" w:space="0" w:color="auto"/>
              <w:bottom w:val="single" w:sz="6" w:space="0" w:color="auto"/>
              <w:right w:val="single" w:sz="6" w:space="0" w:color="auto"/>
            </w:tcBorders>
            <w:vAlign w:val="center"/>
            <w:hideMark/>
          </w:tcPr>
          <w:p w14:paraId="479B3BCE" w14:textId="77777777" w:rsidR="00324401" w:rsidRPr="00324401" w:rsidRDefault="00324401" w:rsidP="00324401">
            <w:pPr>
              <w:rPr>
                <w:rFonts w:asciiTheme="minorHAnsi" w:hAnsiTheme="minorHAnsi"/>
              </w:rPr>
            </w:pPr>
            <w:r w:rsidRPr="00324401">
              <w:rPr>
                <w:rFonts w:asciiTheme="minorHAnsi" w:hAnsiTheme="minorHAnsi"/>
              </w:rPr>
              <w:t>650</w:t>
            </w:r>
          </w:p>
        </w:tc>
      </w:tr>
      <w:tr w:rsidR="00324401" w:rsidRPr="00324401" w14:paraId="1A99F0D5" w14:textId="77777777" w:rsidTr="0032440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E813843" w14:textId="77777777" w:rsidR="00324401" w:rsidRPr="00324401" w:rsidRDefault="00324401" w:rsidP="00324401">
            <w:pPr>
              <w:rPr>
                <w:rFonts w:asciiTheme="minorHAnsi" w:hAnsiTheme="minorHAnsi"/>
              </w:rPr>
            </w:pPr>
            <w:r w:rsidRPr="00324401">
              <w:rPr>
                <w:rFonts w:asciiTheme="minorHAnsi" w:hAnsiTheme="minorHAnsi"/>
                <w:b/>
                <w:bCs/>
              </w:rPr>
              <w:t>Wymagany przepływ biogazu (Nm³/h)</w:t>
            </w:r>
            <w:r w:rsidRPr="00324401">
              <w:rPr>
                <w:rFonts w:asciiTheme="minorHAnsi" w:hAnsiTheme="minorHAnsi"/>
              </w:rPr>
              <w:t xml:space="preserve"> *</w:t>
            </w:r>
          </w:p>
        </w:tc>
        <w:tc>
          <w:tcPr>
            <w:tcW w:w="0" w:type="auto"/>
            <w:tcBorders>
              <w:top w:val="single" w:sz="6" w:space="0" w:color="auto"/>
              <w:left w:val="single" w:sz="6" w:space="0" w:color="auto"/>
              <w:bottom w:val="single" w:sz="6" w:space="0" w:color="auto"/>
              <w:right w:val="single" w:sz="6" w:space="0" w:color="auto"/>
            </w:tcBorders>
            <w:vAlign w:val="center"/>
            <w:hideMark/>
          </w:tcPr>
          <w:p w14:paraId="4E58452B" w14:textId="77777777" w:rsidR="00324401" w:rsidRPr="00324401" w:rsidRDefault="00324401" w:rsidP="00324401">
            <w:pPr>
              <w:rPr>
                <w:rFonts w:asciiTheme="minorHAnsi" w:hAnsiTheme="minorHAnsi"/>
              </w:rPr>
            </w:pPr>
            <w:r w:rsidRPr="00324401">
              <w:rPr>
                <w:rFonts w:asciiTheme="minorHAnsi" w:hAnsiTheme="minorHAnsi"/>
              </w:rPr>
              <w:t>ok. 175</w:t>
            </w:r>
          </w:p>
        </w:tc>
        <w:tc>
          <w:tcPr>
            <w:tcW w:w="0" w:type="auto"/>
            <w:tcBorders>
              <w:top w:val="single" w:sz="6" w:space="0" w:color="auto"/>
              <w:left w:val="single" w:sz="6" w:space="0" w:color="auto"/>
              <w:bottom w:val="single" w:sz="6" w:space="0" w:color="auto"/>
              <w:right w:val="single" w:sz="6" w:space="0" w:color="auto"/>
            </w:tcBorders>
            <w:vAlign w:val="center"/>
            <w:hideMark/>
          </w:tcPr>
          <w:p w14:paraId="2B6272DE" w14:textId="77777777" w:rsidR="00324401" w:rsidRPr="00324401" w:rsidRDefault="00324401" w:rsidP="00324401">
            <w:pPr>
              <w:rPr>
                <w:rFonts w:asciiTheme="minorHAnsi" w:hAnsiTheme="minorHAnsi"/>
              </w:rPr>
            </w:pPr>
            <w:r w:rsidRPr="00324401">
              <w:rPr>
                <w:rFonts w:asciiTheme="minorHAnsi" w:hAnsiTheme="minorHAnsi"/>
              </w:rPr>
              <w:t>ok. 210</w:t>
            </w:r>
          </w:p>
        </w:tc>
        <w:tc>
          <w:tcPr>
            <w:tcW w:w="0" w:type="auto"/>
            <w:tcBorders>
              <w:top w:val="single" w:sz="6" w:space="0" w:color="auto"/>
              <w:left w:val="single" w:sz="6" w:space="0" w:color="auto"/>
              <w:bottom w:val="single" w:sz="6" w:space="0" w:color="auto"/>
              <w:right w:val="single" w:sz="6" w:space="0" w:color="auto"/>
            </w:tcBorders>
            <w:vAlign w:val="center"/>
            <w:hideMark/>
          </w:tcPr>
          <w:p w14:paraId="7ADD65DE" w14:textId="77777777" w:rsidR="00324401" w:rsidRPr="00324401" w:rsidRDefault="00324401" w:rsidP="00324401">
            <w:pPr>
              <w:rPr>
                <w:rFonts w:asciiTheme="minorHAnsi" w:hAnsiTheme="minorHAnsi"/>
              </w:rPr>
            </w:pPr>
            <w:r w:rsidRPr="00324401">
              <w:rPr>
                <w:rFonts w:asciiTheme="minorHAnsi" w:hAnsiTheme="minorHAnsi"/>
              </w:rPr>
              <w:t>ok. 240</w:t>
            </w:r>
          </w:p>
        </w:tc>
      </w:tr>
      <w:tr w:rsidR="00324401" w:rsidRPr="00324401" w14:paraId="0FD92519" w14:textId="77777777" w:rsidTr="0032440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EB8E689" w14:textId="77777777" w:rsidR="00324401" w:rsidRPr="00324401" w:rsidRDefault="00324401" w:rsidP="00324401">
            <w:pPr>
              <w:rPr>
                <w:rFonts w:asciiTheme="minorHAnsi" w:hAnsiTheme="minorHAnsi"/>
              </w:rPr>
            </w:pPr>
            <w:r w:rsidRPr="00324401">
              <w:rPr>
                <w:rFonts w:asciiTheme="minorHAnsi" w:hAnsiTheme="minorHAnsi"/>
                <w:b/>
                <w:bCs/>
              </w:rPr>
              <w:t>Minimalna zawartość CH</w:t>
            </w:r>
            <w:r w:rsidRPr="00324401">
              <w:rPr>
                <w:rFonts w:asciiTheme="minorHAnsi" w:hAnsiTheme="minorHAnsi" w:cs="Cambria Math"/>
                <w:b/>
                <w:bCs/>
              </w:rPr>
              <w:t>₄</w:t>
            </w:r>
            <w:r w:rsidRPr="00324401">
              <w:rPr>
                <w:rFonts w:asciiTheme="minorHAnsi" w:hAnsiTheme="minorHAnsi"/>
                <w:b/>
                <w:bCs/>
              </w:rPr>
              <w:t xml:space="preserve"> (%)</w:t>
            </w:r>
          </w:p>
        </w:tc>
        <w:tc>
          <w:tcPr>
            <w:tcW w:w="0" w:type="auto"/>
            <w:tcBorders>
              <w:top w:val="single" w:sz="6" w:space="0" w:color="auto"/>
              <w:left w:val="single" w:sz="6" w:space="0" w:color="auto"/>
              <w:bottom w:val="single" w:sz="6" w:space="0" w:color="auto"/>
              <w:right w:val="single" w:sz="6" w:space="0" w:color="auto"/>
            </w:tcBorders>
            <w:vAlign w:val="center"/>
            <w:hideMark/>
          </w:tcPr>
          <w:p w14:paraId="3670D05D" w14:textId="77777777" w:rsidR="00324401" w:rsidRPr="00324401" w:rsidRDefault="00324401" w:rsidP="00324401">
            <w:pPr>
              <w:rPr>
                <w:rFonts w:asciiTheme="minorHAnsi" w:hAnsiTheme="minorHAnsi"/>
              </w:rPr>
            </w:pPr>
            <w:r w:rsidRPr="00324401">
              <w:rPr>
                <w:rFonts w:asciiTheme="minorHAnsi" w:hAnsiTheme="minorHAnsi"/>
              </w:rPr>
              <w:t>45%</w:t>
            </w:r>
          </w:p>
        </w:tc>
        <w:tc>
          <w:tcPr>
            <w:tcW w:w="0" w:type="auto"/>
            <w:tcBorders>
              <w:top w:val="single" w:sz="6" w:space="0" w:color="auto"/>
              <w:left w:val="single" w:sz="6" w:space="0" w:color="auto"/>
              <w:bottom w:val="single" w:sz="6" w:space="0" w:color="auto"/>
              <w:right w:val="single" w:sz="6" w:space="0" w:color="auto"/>
            </w:tcBorders>
            <w:vAlign w:val="center"/>
            <w:hideMark/>
          </w:tcPr>
          <w:p w14:paraId="20F65B46" w14:textId="77777777" w:rsidR="00324401" w:rsidRPr="00324401" w:rsidRDefault="00324401" w:rsidP="00324401">
            <w:pPr>
              <w:rPr>
                <w:rFonts w:asciiTheme="minorHAnsi" w:hAnsiTheme="minorHAnsi"/>
              </w:rPr>
            </w:pPr>
            <w:r w:rsidRPr="00324401">
              <w:rPr>
                <w:rFonts w:asciiTheme="minorHAnsi" w:hAnsiTheme="minorHAnsi"/>
              </w:rPr>
              <w:t>50%</w:t>
            </w:r>
          </w:p>
        </w:tc>
        <w:tc>
          <w:tcPr>
            <w:tcW w:w="0" w:type="auto"/>
            <w:tcBorders>
              <w:top w:val="single" w:sz="6" w:space="0" w:color="auto"/>
              <w:left w:val="single" w:sz="6" w:space="0" w:color="auto"/>
              <w:bottom w:val="single" w:sz="6" w:space="0" w:color="auto"/>
              <w:right w:val="single" w:sz="6" w:space="0" w:color="auto"/>
            </w:tcBorders>
            <w:vAlign w:val="center"/>
            <w:hideMark/>
          </w:tcPr>
          <w:p w14:paraId="26185DF4" w14:textId="77777777" w:rsidR="00324401" w:rsidRPr="00324401" w:rsidRDefault="00324401" w:rsidP="00324401">
            <w:pPr>
              <w:rPr>
                <w:rFonts w:asciiTheme="minorHAnsi" w:hAnsiTheme="minorHAnsi"/>
              </w:rPr>
            </w:pPr>
            <w:r w:rsidRPr="00324401">
              <w:rPr>
                <w:rFonts w:asciiTheme="minorHAnsi" w:hAnsiTheme="minorHAnsi"/>
              </w:rPr>
              <w:t>50%</w:t>
            </w:r>
          </w:p>
        </w:tc>
      </w:tr>
      <w:tr w:rsidR="00324401" w:rsidRPr="00324401" w14:paraId="7726C3D6" w14:textId="77777777" w:rsidTr="0032440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870E030" w14:textId="77777777" w:rsidR="00324401" w:rsidRPr="00324401" w:rsidRDefault="00324401" w:rsidP="00324401">
            <w:pPr>
              <w:rPr>
                <w:rFonts w:asciiTheme="minorHAnsi" w:hAnsiTheme="minorHAnsi"/>
              </w:rPr>
            </w:pPr>
            <w:r w:rsidRPr="00324401">
              <w:rPr>
                <w:rFonts w:asciiTheme="minorHAnsi" w:hAnsiTheme="minorHAnsi"/>
                <w:b/>
                <w:bCs/>
              </w:rPr>
              <w:t>Sprawność elektryczna (%)</w:t>
            </w:r>
          </w:p>
        </w:tc>
        <w:tc>
          <w:tcPr>
            <w:tcW w:w="0" w:type="auto"/>
            <w:tcBorders>
              <w:top w:val="single" w:sz="6" w:space="0" w:color="auto"/>
              <w:left w:val="single" w:sz="6" w:space="0" w:color="auto"/>
              <w:bottom w:val="single" w:sz="6" w:space="0" w:color="auto"/>
              <w:right w:val="single" w:sz="6" w:space="0" w:color="auto"/>
            </w:tcBorders>
            <w:vAlign w:val="center"/>
            <w:hideMark/>
          </w:tcPr>
          <w:p w14:paraId="3D555C71" w14:textId="77777777" w:rsidR="00324401" w:rsidRPr="00324401" w:rsidRDefault="00324401" w:rsidP="00324401">
            <w:pPr>
              <w:rPr>
                <w:rFonts w:asciiTheme="minorHAnsi" w:hAnsiTheme="minorHAnsi"/>
              </w:rPr>
            </w:pPr>
            <w:r w:rsidRPr="00324401">
              <w:rPr>
                <w:rFonts w:asciiTheme="minorHAnsi" w:hAnsiTheme="minorHAnsi"/>
              </w:rPr>
              <w:t>~40%</w:t>
            </w:r>
          </w:p>
        </w:tc>
        <w:tc>
          <w:tcPr>
            <w:tcW w:w="0" w:type="auto"/>
            <w:tcBorders>
              <w:top w:val="single" w:sz="6" w:space="0" w:color="auto"/>
              <w:left w:val="single" w:sz="6" w:space="0" w:color="auto"/>
              <w:bottom w:val="single" w:sz="6" w:space="0" w:color="auto"/>
              <w:right w:val="single" w:sz="6" w:space="0" w:color="auto"/>
            </w:tcBorders>
            <w:vAlign w:val="center"/>
            <w:hideMark/>
          </w:tcPr>
          <w:p w14:paraId="0EC82E13" w14:textId="77777777" w:rsidR="00324401" w:rsidRPr="00324401" w:rsidRDefault="00324401" w:rsidP="00324401">
            <w:pPr>
              <w:rPr>
                <w:rFonts w:asciiTheme="minorHAnsi" w:hAnsiTheme="minorHAnsi"/>
              </w:rPr>
            </w:pPr>
            <w:r w:rsidRPr="00324401">
              <w:rPr>
                <w:rFonts w:asciiTheme="minorHAnsi" w:hAnsiTheme="minorHAnsi"/>
              </w:rPr>
              <w:t>~41.5%</w:t>
            </w:r>
          </w:p>
        </w:tc>
        <w:tc>
          <w:tcPr>
            <w:tcW w:w="0" w:type="auto"/>
            <w:tcBorders>
              <w:top w:val="single" w:sz="6" w:space="0" w:color="auto"/>
              <w:left w:val="single" w:sz="6" w:space="0" w:color="auto"/>
              <w:bottom w:val="single" w:sz="6" w:space="0" w:color="auto"/>
              <w:right w:val="single" w:sz="6" w:space="0" w:color="auto"/>
            </w:tcBorders>
            <w:vAlign w:val="center"/>
            <w:hideMark/>
          </w:tcPr>
          <w:p w14:paraId="309C4C45" w14:textId="77777777" w:rsidR="00324401" w:rsidRPr="00324401" w:rsidRDefault="00324401" w:rsidP="00324401">
            <w:pPr>
              <w:rPr>
                <w:rFonts w:asciiTheme="minorHAnsi" w:hAnsiTheme="minorHAnsi"/>
              </w:rPr>
            </w:pPr>
            <w:r w:rsidRPr="00324401">
              <w:rPr>
                <w:rFonts w:asciiTheme="minorHAnsi" w:hAnsiTheme="minorHAnsi"/>
              </w:rPr>
              <w:t>~43%</w:t>
            </w:r>
          </w:p>
        </w:tc>
      </w:tr>
      <w:tr w:rsidR="00324401" w:rsidRPr="00324401" w14:paraId="2368B850" w14:textId="77777777" w:rsidTr="0032440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533E19A" w14:textId="77777777" w:rsidR="00324401" w:rsidRPr="00324401" w:rsidRDefault="00324401" w:rsidP="00324401">
            <w:pPr>
              <w:rPr>
                <w:rFonts w:asciiTheme="minorHAnsi" w:hAnsiTheme="minorHAnsi"/>
              </w:rPr>
            </w:pPr>
            <w:r w:rsidRPr="00324401">
              <w:rPr>
                <w:rFonts w:asciiTheme="minorHAnsi" w:hAnsiTheme="minorHAnsi"/>
                <w:b/>
                <w:bCs/>
              </w:rPr>
              <w:t>Główne zalety (wg producenta)</w:t>
            </w:r>
          </w:p>
        </w:tc>
        <w:tc>
          <w:tcPr>
            <w:tcW w:w="0" w:type="auto"/>
            <w:tcBorders>
              <w:top w:val="single" w:sz="6" w:space="0" w:color="auto"/>
              <w:left w:val="single" w:sz="6" w:space="0" w:color="auto"/>
              <w:bottom w:val="single" w:sz="6" w:space="0" w:color="auto"/>
              <w:right w:val="single" w:sz="6" w:space="0" w:color="auto"/>
            </w:tcBorders>
            <w:vAlign w:val="center"/>
            <w:hideMark/>
          </w:tcPr>
          <w:p w14:paraId="5262AA55" w14:textId="77777777" w:rsidR="00324401" w:rsidRPr="00324401" w:rsidRDefault="00324401" w:rsidP="00324401">
            <w:pPr>
              <w:rPr>
                <w:rFonts w:asciiTheme="minorHAnsi" w:hAnsiTheme="minorHAnsi"/>
              </w:rPr>
            </w:pPr>
            <w:r w:rsidRPr="00324401">
              <w:rPr>
                <w:rFonts w:asciiTheme="minorHAnsi" w:hAnsiTheme="minorHAnsi"/>
              </w:rPr>
              <w:t>Niższy koszt zakupu</w:t>
            </w:r>
          </w:p>
        </w:tc>
        <w:tc>
          <w:tcPr>
            <w:tcW w:w="0" w:type="auto"/>
            <w:tcBorders>
              <w:top w:val="single" w:sz="6" w:space="0" w:color="auto"/>
              <w:left w:val="single" w:sz="6" w:space="0" w:color="auto"/>
              <w:bottom w:val="single" w:sz="6" w:space="0" w:color="auto"/>
              <w:right w:val="single" w:sz="6" w:space="0" w:color="auto"/>
            </w:tcBorders>
            <w:vAlign w:val="center"/>
            <w:hideMark/>
          </w:tcPr>
          <w:p w14:paraId="2E2D7378" w14:textId="77777777" w:rsidR="00324401" w:rsidRPr="00324401" w:rsidRDefault="00324401" w:rsidP="00324401">
            <w:pPr>
              <w:rPr>
                <w:rFonts w:asciiTheme="minorHAnsi" w:hAnsiTheme="minorHAnsi"/>
              </w:rPr>
            </w:pPr>
            <w:r w:rsidRPr="00324401">
              <w:rPr>
                <w:rFonts w:asciiTheme="minorHAnsi" w:hAnsiTheme="minorHAnsi"/>
              </w:rPr>
              <w:t>Wysoka dostępność serwisu</w:t>
            </w:r>
          </w:p>
        </w:tc>
        <w:tc>
          <w:tcPr>
            <w:tcW w:w="0" w:type="auto"/>
            <w:tcBorders>
              <w:top w:val="single" w:sz="6" w:space="0" w:color="auto"/>
              <w:left w:val="single" w:sz="6" w:space="0" w:color="auto"/>
              <w:bottom w:val="single" w:sz="6" w:space="0" w:color="auto"/>
              <w:right w:val="single" w:sz="6" w:space="0" w:color="auto"/>
            </w:tcBorders>
            <w:vAlign w:val="center"/>
            <w:hideMark/>
          </w:tcPr>
          <w:p w14:paraId="20B38E59" w14:textId="77777777" w:rsidR="00324401" w:rsidRPr="00324401" w:rsidRDefault="00324401" w:rsidP="00324401">
            <w:pPr>
              <w:rPr>
                <w:rFonts w:asciiTheme="minorHAnsi" w:hAnsiTheme="minorHAnsi"/>
              </w:rPr>
            </w:pPr>
            <w:r w:rsidRPr="00324401">
              <w:rPr>
                <w:rFonts w:asciiTheme="minorHAnsi" w:hAnsiTheme="minorHAnsi"/>
              </w:rPr>
              <w:t>Najwyższa sprawność elektr.</w:t>
            </w:r>
          </w:p>
        </w:tc>
      </w:tr>
      <w:tr w:rsidR="00324401" w:rsidRPr="00324401" w14:paraId="22E5620D" w14:textId="77777777" w:rsidTr="0032440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3738F96" w14:textId="77777777" w:rsidR="00324401" w:rsidRPr="00324401" w:rsidRDefault="00324401" w:rsidP="00324401">
            <w:pPr>
              <w:rPr>
                <w:rFonts w:asciiTheme="minorHAnsi" w:hAnsiTheme="minorHAnsi"/>
              </w:rPr>
            </w:pPr>
            <w:r w:rsidRPr="00324401">
              <w:rPr>
                <w:rFonts w:asciiTheme="minorHAnsi" w:hAnsiTheme="minorHAnsi"/>
                <w:b/>
                <w:bCs/>
              </w:rPr>
              <w:t>Główne wady (wg opinii rynkowych)</w:t>
            </w:r>
          </w:p>
        </w:tc>
        <w:tc>
          <w:tcPr>
            <w:tcW w:w="0" w:type="auto"/>
            <w:tcBorders>
              <w:top w:val="single" w:sz="6" w:space="0" w:color="auto"/>
              <w:left w:val="single" w:sz="6" w:space="0" w:color="auto"/>
              <w:bottom w:val="single" w:sz="6" w:space="0" w:color="auto"/>
              <w:right w:val="single" w:sz="6" w:space="0" w:color="auto"/>
            </w:tcBorders>
            <w:vAlign w:val="center"/>
            <w:hideMark/>
          </w:tcPr>
          <w:p w14:paraId="03581BA7" w14:textId="77777777" w:rsidR="00324401" w:rsidRPr="00324401" w:rsidRDefault="00324401" w:rsidP="00324401">
            <w:pPr>
              <w:rPr>
                <w:rFonts w:asciiTheme="minorHAnsi" w:hAnsiTheme="minorHAnsi"/>
              </w:rPr>
            </w:pPr>
            <w:r w:rsidRPr="00324401">
              <w:rPr>
                <w:rFonts w:asciiTheme="minorHAnsi" w:hAnsiTheme="minorHAnsi"/>
              </w:rPr>
              <w:t>Nieco niższa żywotność</w:t>
            </w:r>
          </w:p>
        </w:tc>
        <w:tc>
          <w:tcPr>
            <w:tcW w:w="0" w:type="auto"/>
            <w:tcBorders>
              <w:top w:val="single" w:sz="6" w:space="0" w:color="auto"/>
              <w:left w:val="single" w:sz="6" w:space="0" w:color="auto"/>
              <w:bottom w:val="single" w:sz="6" w:space="0" w:color="auto"/>
              <w:right w:val="single" w:sz="6" w:space="0" w:color="auto"/>
            </w:tcBorders>
            <w:vAlign w:val="center"/>
            <w:hideMark/>
          </w:tcPr>
          <w:p w14:paraId="662984F2" w14:textId="77777777" w:rsidR="00324401" w:rsidRPr="00324401" w:rsidRDefault="00324401" w:rsidP="00324401">
            <w:pPr>
              <w:rPr>
                <w:rFonts w:asciiTheme="minorHAnsi" w:hAnsiTheme="minorHAnsi"/>
              </w:rPr>
            </w:pPr>
            <w:r w:rsidRPr="00324401">
              <w:rPr>
                <w:rFonts w:asciiTheme="minorHAnsi" w:hAnsiTheme="minorHAnsi"/>
              </w:rPr>
              <w:t>Wyższy koszt zakupu</w:t>
            </w:r>
          </w:p>
        </w:tc>
        <w:tc>
          <w:tcPr>
            <w:tcW w:w="0" w:type="auto"/>
            <w:tcBorders>
              <w:top w:val="single" w:sz="6" w:space="0" w:color="auto"/>
              <w:left w:val="single" w:sz="6" w:space="0" w:color="auto"/>
              <w:bottom w:val="single" w:sz="6" w:space="0" w:color="auto"/>
              <w:right w:val="single" w:sz="6" w:space="0" w:color="auto"/>
            </w:tcBorders>
            <w:vAlign w:val="center"/>
            <w:hideMark/>
          </w:tcPr>
          <w:p w14:paraId="61DE295B" w14:textId="77777777" w:rsidR="00324401" w:rsidRPr="00324401" w:rsidRDefault="00324401" w:rsidP="00324401">
            <w:pPr>
              <w:rPr>
                <w:rFonts w:asciiTheme="minorHAnsi" w:hAnsiTheme="minorHAnsi"/>
              </w:rPr>
            </w:pPr>
            <w:r w:rsidRPr="00324401">
              <w:rPr>
                <w:rFonts w:asciiTheme="minorHAnsi" w:hAnsiTheme="minorHAnsi"/>
              </w:rPr>
              <w:t>Mniej rozwinięta sieć serwisu</w:t>
            </w:r>
          </w:p>
        </w:tc>
      </w:tr>
      <w:tr w:rsidR="00324401" w:rsidRPr="00324401" w14:paraId="20C2C47E" w14:textId="77777777" w:rsidTr="0032440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4EF45F8" w14:textId="77777777" w:rsidR="00324401" w:rsidRPr="00324401" w:rsidRDefault="00324401" w:rsidP="00324401">
            <w:pPr>
              <w:rPr>
                <w:rFonts w:asciiTheme="minorHAnsi" w:hAnsiTheme="minorHAnsi"/>
              </w:rPr>
            </w:pPr>
            <w:r w:rsidRPr="00324401">
              <w:rPr>
                <w:rFonts w:asciiTheme="minorHAnsi" w:hAnsiTheme="minorHAnsi"/>
                <w:b/>
                <w:bCs/>
              </w:rPr>
              <w:t>Okresy międzyprzeglądowe (motogodziny)</w:t>
            </w:r>
          </w:p>
        </w:tc>
        <w:tc>
          <w:tcPr>
            <w:tcW w:w="0" w:type="auto"/>
            <w:tcBorders>
              <w:top w:val="single" w:sz="6" w:space="0" w:color="auto"/>
              <w:left w:val="single" w:sz="6" w:space="0" w:color="auto"/>
              <w:bottom w:val="single" w:sz="6" w:space="0" w:color="auto"/>
              <w:right w:val="single" w:sz="6" w:space="0" w:color="auto"/>
            </w:tcBorders>
            <w:vAlign w:val="center"/>
            <w:hideMark/>
          </w:tcPr>
          <w:p w14:paraId="7A5C0C3D" w14:textId="77777777" w:rsidR="00324401" w:rsidRPr="00324401" w:rsidRDefault="00324401" w:rsidP="00324401">
            <w:pPr>
              <w:rPr>
                <w:rFonts w:asciiTheme="minorHAnsi" w:hAnsiTheme="minorHAnsi"/>
              </w:rPr>
            </w:pPr>
            <w:r w:rsidRPr="00324401">
              <w:rPr>
                <w:rFonts w:asciiTheme="minorHAnsi" w:hAnsiTheme="minorHAnsi"/>
              </w:rPr>
              <w:t>2000</w:t>
            </w:r>
          </w:p>
        </w:tc>
        <w:tc>
          <w:tcPr>
            <w:tcW w:w="0" w:type="auto"/>
            <w:tcBorders>
              <w:top w:val="single" w:sz="6" w:space="0" w:color="auto"/>
              <w:left w:val="single" w:sz="6" w:space="0" w:color="auto"/>
              <w:bottom w:val="single" w:sz="6" w:space="0" w:color="auto"/>
              <w:right w:val="single" w:sz="6" w:space="0" w:color="auto"/>
            </w:tcBorders>
            <w:vAlign w:val="center"/>
            <w:hideMark/>
          </w:tcPr>
          <w:p w14:paraId="384E7580" w14:textId="77777777" w:rsidR="00324401" w:rsidRPr="00324401" w:rsidRDefault="00324401" w:rsidP="00324401">
            <w:pPr>
              <w:rPr>
                <w:rFonts w:asciiTheme="minorHAnsi" w:hAnsiTheme="minorHAnsi"/>
              </w:rPr>
            </w:pPr>
            <w:r w:rsidRPr="00324401">
              <w:rPr>
                <w:rFonts w:asciiTheme="minorHAnsi" w:hAnsiTheme="minorHAnsi"/>
              </w:rPr>
              <w:t>3000</w:t>
            </w:r>
          </w:p>
        </w:tc>
        <w:tc>
          <w:tcPr>
            <w:tcW w:w="0" w:type="auto"/>
            <w:tcBorders>
              <w:top w:val="single" w:sz="6" w:space="0" w:color="auto"/>
              <w:left w:val="single" w:sz="6" w:space="0" w:color="auto"/>
              <w:bottom w:val="single" w:sz="6" w:space="0" w:color="auto"/>
              <w:right w:val="single" w:sz="6" w:space="0" w:color="auto"/>
            </w:tcBorders>
            <w:vAlign w:val="center"/>
            <w:hideMark/>
          </w:tcPr>
          <w:p w14:paraId="34FE745C" w14:textId="77777777" w:rsidR="00324401" w:rsidRPr="00324401" w:rsidRDefault="00324401" w:rsidP="00324401">
            <w:pPr>
              <w:rPr>
                <w:rFonts w:asciiTheme="minorHAnsi" w:hAnsiTheme="minorHAnsi"/>
              </w:rPr>
            </w:pPr>
            <w:r w:rsidRPr="00324401">
              <w:rPr>
                <w:rFonts w:asciiTheme="minorHAnsi" w:hAnsiTheme="minorHAnsi"/>
              </w:rPr>
              <w:t>4000</w:t>
            </w:r>
          </w:p>
        </w:tc>
      </w:tr>
    </w:tbl>
    <w:p w14:paraId="6AF8CBCB" w14:textId="77777777" w:rsidR="00324401" w:rsidRDefault="00324401" w:rsidP="00324401">
      <w:pPr>
        <w:rPr>
          <w:rFonts w:asciiTheme="minorHAnsi" w:hAnsiTheme="minorHAnsi" w:cs="Cambria Math"/>
          <w:i/>
          <w:iCs/>
        </w:rPr>
      </w:pPr>
      <w:r w:rsidRPr="00324401">
        <w:rPr>
          <w:rFonts w:asciiTheme="minorHAnsi" w:hAnsiTheme="minorHAnsi"/>
          <w:i/>
          <w:iCs/>
        </w:rPr>
        <w:t>*Przy biogazie 58% CH</w:t>
      </w:r>
      <w:r w:rsidRPr="00324401">
        <w:rPr>
          <w:rFonts w:asciiTheme="minorHAnsi" w:hAnsiTheme="minorHAnsi" w:cs="Cambria Math"/>
          <w:i/>
          <w:iCs/>
        </w:rPr>
        <w:t>₄</w:t>
      </w:r>
    </w:p>
    <w:p w14:paraId="38348FD5" w14:textId="77777777" w:rsidR="00324401" w:rsidRPr="00324401" w:rsidRDefault="00324401" w:rsidP="00324401">
      <w:pPr>
        <w:rPr>
          <w:rFonts w:asciiTheme="minorHAnsi" w:hAnsiTheme="minorHAnsi"/>
        </w:rPr>
      </w:pPr>
    </w:p>
    <w:p w14:paraId="65AF2986" w14:textId="77777777" w:rsidR="00324401" w:rsidRPr="00324401" w:rsidRDefault="00324401" w:rsidP="00324401">
      <w:pPr>
        <w:rPr>
          <w:rFonts w:asciiTheme="minorHAnsi" w:hAnsiTheme="minorHAnsi"/>
        </w:rPr>
      </w:pPr>
      <w:r w:rsidRPr="00324401">
        <w:rPr>
          <w:rFonts w:asciiTheme="minorHAnsi" w:hAnsiTheme="minorHAnsi"/>
          <w:b/>
          <w:bCs/>
        </w:rPr>
        <w:t>Zadanie 1: Wstępna selekcja jednostki CHP (15 minut)</w:t>
      </w:r>
    </w:p>
    <w:p w14:paraId="0BD8E069" w14:textId="77777777" w:rsidR="00324401" w:rsidRPr="00324401" w:rsidRDefault="00324401" w:rsidP="00324401">
      <w:pPr>
        <w:numPr>
          <w:ilvl w:val="0"/>
          <w:numId w:val="37"/>
        </w:numPr>
        <w:rPr>
          <w:rFonts w:asciiTheme="minorHAnsi" w:hAnsiTheme="minorHAnsi"/>
        </w:rPr>
      </w:pPr>
      <w:r w:rsidRPr="00324401">
        <w:rPr>
          <w:rFonts w:asciiTheme="minorHAnsi" w:hAnsiTheme="minorHAnsi"/>
          <w:b/>
          <w:bCs/>
        </w:rPr>
        <w:lastRenderedPageBreak/>
        <w:t>Analiza przepływu gazu:</w:t>
      </w:r>
      <w:r w:rsidRPr="00324401">
        <w:rPr>
          <w:rFonts w:asciiTheme="minorHAnsi" w:hAnsiTheme="minorHAnsi"/>
        </w:rPr>
        <w:t xml:space="preserve"> Porównajcie produkcję biogazu w biogazowni (240 Nm³/h) z wymaganym przepływem dla każdej jednostki CHP. Które jednostki mogą pracować przy dostępnej ilości biogazu? Czy któraś będzie pracować na 100% obciążenia, a któraś na częściowym?</w:t>
      </w:r>
    </w:p>
    <w:p w14:paraId="1A25D0BF" w14:textId="77777777" w:rsidR="00324401" w:rsidRPr="00324401" w:rsidRDefault="00324401" w:rsidP="00324401">
      <w:pPr>
        <w:numPr>
          <w:ilvl w:val="0"/>
          <w:numId w:val="37"/>
        </w:numPr>
        <w:rPr>
          <w:rFonts w:asciiTheme="minorHAnsi" w:hAnsiTheme="minorHAnsi"/>
        </w:rPr>
      </w:pPr>
      <w:r w:rsidRPr="00324401">
        <w:rPr>
          <w:rFonts w:asciiTheme="minorHAnsi" w:hAnsiTheme="minorHAnsi"/>
          <w:b/>
          <w:bCs/>
        </w:rPr>
        <w:t>Analiza jakości gazu:</w:t>
      </w:r>
      <w:r w:rsidRPr="00324401">
        <w:rPr>
          <w:rFonts w:asciiTheme="minorHAnsi" w:hAnsiTheme="minorHAnsi"/>
        </w:rPr>
        <w:t xml:space="preserve"> Czy produkowany biogaz (58% CH</w:t>
      </w:r>
      <w:r w:rsidRPr="00324401">
        <w:rPr>
          <w:rFonts w:asciiTheme="minorHAnsi" w:hAnsiTheme="minorHAnsi" w:cs="Cambria Math"/>
        </w:rPr>
        <w:t>₄</w:t>
      </w:r>
      <w:r w:rsidRPr="00324401">
        <w:rPr>
          <w:rFonts w:asciiTheme="minorHAnsi" w:hAnsiTheme="minorHAnsi"/>
        </w:rPr>
        <w:t>) spełnia minimalne wymagania dotyczące zawartości metanu dla każdej z jednostek?</w:t>
      </w:r>
    </w:p>
    <w:p w14:paraId="37C5F67F" w14:textId="77777777" w:rsidR="00324401" w:rsidRPr="00324401" w:rsidRDefault="00324401" w:rsidP="00324401">
      <w:pPr>
        <w:numPr>
          <w:ilvl w:val="0"/>
          <w:numId w:val="37"/>
        </w:numPr>
        <w:rPr>
          <w:rFonts w:asciiTheme="minorHAnsi" w:hAnsiTheme="minorHAnsi"/>
        </w:rPr>
      </w:pPr>
      <w:r w:rsidRPr="00324401">
        <w:rPr>
          <w:rFonts w:asciiTheme="minorHAnsi" w:hAnsiTheme="minorHAnsi"/>
          <w:b/>
          <w:bCs/>
        </w:rPr>
        <w:t>Wybór i uzasadnienie:</w:t>
      </w:r>
      <w:r w:rsidRPr="00324401">
        <w:rPr>
          <w:rFonts w:asciiTheme="minorHAnsi" w:hAnsiTheme="minorHAnsi"/>
        </w:rPr>
        <w:t xml:space="preserve"> Biorąc pod uwagę dopasowanie do ilości biogazu, sprawność elektryczną (bez obliczeń, tylko porównanie wartości), zalety, wady oraz okresy międzyprzeglądowe, </w:t>
      </w:r>
      <w:r w:rsidRPr="00324401">
        <w:rPr>
          <w:rFonts w:asciiTheme="minorHAnsi" w:hAnsiTheme="minorHAnsi"/>
          <w:b/>
          <w:bCs/>
        </w:rPr>
        <w:t>wskażcie jednostkę CHP, którą uważacie za najbardziej odpowiednią</w:t>
      </w:r>
      <w:r w:rsidRPr="00324401">
        <w:rPr>
          <w:rFonts w:asciiTheme="minorHAnsi" w:hAnsiTheme="minorHAnsi"/>
        </w:rPr>
        <w:t xml:space="preserve"> dla tego scenariusza. Uzasadnijcie krótko swój wybór, odnosząc się do danych z tabeli.</w:t>
      </w:r>
    </w:p>
    <w:p w14:paraId="408E2813" w14:textId="77777777" w:rsidR="00324401" w:rsidRPr="00324401" w:rsidRDefault="00324401" w:rsidP="00324401">
      <w:pPr>
        <w:rPr>
          <w:rFonts w:asciiTheme="minorHAnsi" w:hAnsiTheme="minorHAnsi"/>
        </w:rPr>
      </w:pPr>
      <w:r w:rsidRPr="00324401">
        <w:rPr>
          <w:rFonts w:asciiTheme="minorHAnsi" w:hAnsiTheme="minorHAnsi"/>
          <w:b/>
          <w:bCs/>
        </w:rPr>
        <w:t>Zadanie 2: Analiza wykorzystania ciepła (15 minut)</w:t>
      </w:r>
    </w:p>
    <w:p w14:paraId="28A434C0" w14:textId="77777777" w:rsidR="00324401" w:rsidRPr="00324401" w:rsidRDefault="00324401" w:rsidP="00324401">
      <w:pPr>
        <w:numPr>
          <w:ilvl w:val="0"/>
          <w:numId w:val="38"/>
        </w:numPr>
        <w:rPr>
          <w:rFonts w:asciiTheme="minorHAnsi" w:hAnsiTheme="minorHAnsi"/>
        </w:rPr>
      </w:pPr>
      <w:r w:rsidRPr="00324401">
        <w:rPr>
          <w:rFonts w:asciiTheme="minorHAnsi" w:hAnsiTheme="minorHAnsi"/>
          <w:b/>
          <w:bCs/>
        </w:rPr>
        <w:t>Ocena produkcji ciepła:</w:t>
      </w:r>
      <w:r w:rsidRPr="00324401">
        <w:rPr>
          <w:rFonts w:asciiTheme="minorHAnsi" w:hAnsiTheme="minorHAnsi"/>
        </w:rPr>
        <w:t xml:space="preserve"> Dla </w:t>
      </w:r>
      <w:r w:rsidRPr="00324401">
        <w:rPr>
          <w:rFonts w:asciiTheme="minorHAnsi" w:hAnsiTheme="minorHAnsi"/>
          <w:b/>
          <w:bCs/>
        </w:rPr>
        <w:t>wybranej w Zadaniu 1 jednostki CHP</w:t>
      </w:r>
      <w:r w:rsidRPr="00324401">
        <w:rPr>
          <w:rFonts w:asciiTheme="minorHAnsi" w:hAnsiTheme="minorHAnsi"/>
        </w:rPr>
        <w:t>, odczytajcie jej moc cieplną z tabeli.</w:t>
      </w:r>
    </w:p>
    <w:p w14:paraId="3E88670B" w14:textId="77777777" w:rsidR="00324401" w:rsidRPr="00324401" w:rsidRDefault="00324401" w:rsidP="00324401">
      <w:pPr>
        <w:numPr>
          <w:ilvl w:val="0"/>
          <w:numId w:val="38"/>
        </w:numPr>
        <w:rPr>
          <w:rFonts w:asciiTheme="minorHAnsi" w:hAnsiTheme="minorHAnsi"/>
        </w:rPr>
      </w:pPr>
      <w:r w:rsidRPr="00324401">
        <w:rPr>
          <w:rFonts w:asciiTheme="minorHAnsi" w:hAnsiTheme="minorHAnsi"/>
          <w:b/>
          <w:bCs/>
        </w:rPr>
        <w:t>Bilans ciepła (jakościowy):</w:t>
      </w:r>
      <w:r w:rsidRPr="00324401">
        <w:rPr>
          <w:rFonts w:asciiTheme="minorHAnsi" w:hAnsiTheme="minorHAnsi"/>
        </w:rPr>
        <w:t xml:space="preserve"> Porównajcie moc cieplną wybranej jednostki z zapotrzebowaniem na ciepło w biogazowni:</w:t>
      </w:r>
    </w:p>
    <w:p w14:paraId="11E5DACE" w14:textId="77777777" w:rsidR="00324401" w:rsidRPr="00324401" w:rsidRDefault="00324401" w:rsidP="00324401">
      <w:pPr>
        <w:numPr>
          <w:ilvl w:val="1"/>
          <w:numId w:val="38"/>
        </w:numPr>
        <w:rPr>
          <w:rFonts w:asciiTheme="minorHAnsi" w:hAnsiTheme="minorHAnsi"/>
        </w:rPr>
      </w:pPr>
      <w:r w:rsidRPr="00324401">
        <w:rPr>
          <w:rFonts w:asciiTheme="minorHAnsi" w:hAnsiTheme="minorHAnsi"/>
        </w:rPr>
        <w:t xml:space="preserve">Jak wygląda sytuacja </w:t>
      </w:r>
      <w:r w:rsidRPr="00324401">
        <w:rPr>
          <w:rFonts w:asciiTheme="minorHAnsi" w:hAnsiTheme="minorHAnsi"/>
          <w:b/>
          <w:bCs/>
        </w:rPr>
        <w:t>latem</w:t>
      </w:r>
      <w:r w:rsidRPr="00324401">
        <w:rPr>
          <w:rFonts w:asciiTheme="minorHAnsi" w:hAnsiTheme="minorHAnsi"/>
        </w:rPr>
        <w:t xml:space="preserve"> (zapotrzebowanie tylko na proces - 120 kWth)? Czy występuje duży nadmiar ciepła?</w:t>
      </w:r>
    </w:p>
    <w:p w14:paraId="3A07C117" w14:textId="77777777" w:rsidR="00324401" w:rsidRPr="00324401" w:rsidRDefault="00324401" w:rsidP="00324401">
      <w:pPr>
        <w:numPr>
          <w:ilvl w:val="1"/>
          <w:numId w:val="38"/>
        </w:numPr>
        <w:rPr>
          <w:rFonts w:asciiTheme="minorHAnsi" w:hAnsiTheme="minorHAnsi"/>
        </w:rPr>
      </w:pPr>
      <w:r w:rsidRPr="00324401">
        <w:rPr>
          <w:rFonts w:asciiTheme="minorHAnsi" w:hAnsiTheme="minorHAnsi"/>
        </w:rPr>
        <w:t xml:space="preserve">Jak wygląda sytuacja </w:t>
      </w:r>
      <w:r w:rsidRPr="00324401">
        <w:rPr>
          <w:rFonts w:asciiTheme="minorHAnsi" w:hAnsiTheme="minorHAnsi"/>
          <w:b/>
          <w:bCs/>
        </w:rPr>
        <w:t>zimą</w:t>
      </w:r>
      <w:r w:rsidRPr="00324401">
        <w:rPr>
          <w:rFonts w:asciiTheme="minorHAnsi" w:hAnsiTheme="minorHAnsi"/>
        </w:rPr>
        <w:t xml:space="preserve"> (zapotrzebowanie na proces + ogrzewanie = 120 + 80 = 200 kWth)? Czy ciepła wystarcza? Czy nadal jest nadmiar, czy może deficyt?</w:t>
      </w:r>
    </w:p>
    <w:p w14:paraId="5687684B" w14:textId="77777777" w:rsidR="00324401" w:rsidRPr="00324401" w:rsidRDefault="00324401" w:rsidP="00324401">
      <w:pPr>
        <w:numPr>
          <w:ilvl w:val="0"/>
          <w:numId w:val="38"/>
        </w:numPr>
        <w:rPr>
          <w:rFonts w:asciiTheme="minorHAnsi" w:hAnsiTheme="minorHAnsi"/>
        </w:rPr>
      </w:pPr>
      <w:r w:rsidRPr="00324401">
        <w:rPr>
          <w:rFonts w:asciiTheme="minorHAnsi" w:hAnsiTheme="minorHAnsi"/>
          <w:b/>
          <w:bCs/>
        </w:rPr>
        <w:t>Propozycje zagospodarowania nadmiaru:</w:t>
      </w:r>
      <w:r w:rsidRPr="00324401">
        <w:rPr>
          <w:rFonts w:asciiTheme="minorHAnsi" w:hAnsiTheme="minorHAnsi"/>
        </w:rPr>
        <w:t xml:space="preserve"> W grupie przeprowadźcie burzę mózgów i zaproponujcie </w:t>
      </w:r>
      <w:r w:rsidRPr="00324401">
        <w:rPr>
          <w:rFonts w:asciiTheme="minorHAnsi" w:hAnsiTheme="minorHAnsi"/>
          <w:b/>
          <w:bCs/>
        </w:rPr>
        <w:t>dwa realne sposoby zagospodarowania nadmiarowego ciepła</w:t>
      </w:r>
      <w:r w:rsidRPr="00324401">
        <w:rPr>
          <w:rFonts w:asciiTheme="minorHAnsi" w:hAnsiTheme="minorHAnsi"/>
        </w:rPr>
        <w:t xml:space="preserve">, które pojawia się przynajmniej przez część roku. Weźcie pod uwagę lokalizację w gospodarstwie rolnym. Krótko uzasadnijcie, dlaczego te sposoby mogą być opłacalne lub praktyczne (np. suszenie ziarna </w:t>
      </w:r>
      <w:r w:rsidRPr="00324401">
        <w:rPr>
          <w:rFonts w:asciiTheme="minorHAnsi" w:hAnsiTheme="minorHAnsi"/>
          <w:vertAlign w:val="superscript"/>
        </w:rPr>
        <w:t>5</w:t>
      </w:r>
      <w:r w:rsidRPr="00324401">
        <w:rPr>
          <w:rFonts w:asciiTheme="minorHAnsi" w:hAnsiTheme="minorHAnsi"/>
        </w:rPr>
        <w:t xml:space="preserve">, sprzedaż ciepła do pobliskiej szklarni, suszenie pofermentu </w:t>
      </w:r>
      <w:r w:rsidRPr="00324401">
        <w:rPr>
          <w:rFonts w:asciiTheme="minorHAnsi" w:hAnsiTheme="minorHAnsi"/>
          <w:vertAlign w:val="superscript"/>
        </w:rPr>
        <w:t>6</w:t>
      </w:r>
      <w:r w:rsidRPr="00324401">
        <w:rPr>
          <w:rFonts w:asciiTheme="minorHAnsi" w:hAnsiTheme="minorHAnsi"/>
        </w:rPr>
        <w:t>).</w:t>
      </w:r>
    </w:p>
    <w:p w14:paraId="13F536AB" w14:textId="77777777" w:rsidR="00DC0963" w:rsidRPr="00324401" w:rsidRDefault="00DC0963" w:rsidP="00DC0963">
      <w:pPr>
        <w:rPr>
          <w:rFonts w:asciiTheme="minorHAnsi" w:hAnsiTheme="minorHAnsi"/>
        </w:rPr>
      </w:pPr>
    </w:p>
    <w:p w14:paraId="0141FFF9" w14:textId="77777777" w:rsidR="00E42FD1" w:rsidRPr="00324401" w:rsidRDefault="00324401">
      <w:pPr>
        <w:pStyle w:val="Heading2"/>
        <w:spacing w:before="0" w:after="120" w:line="275" w:lineRule="auto"/>
        <w:rPr>
          <w:rFonts w:asciiTheme="minorHAnsi" w:eastAsia="Google Sans" w:hAnsiTheme="minorHAnsi" w:cs="Google Sans"/>
        </w:rPr>
      </w:pPr>
      <w:r w:rsidRPr="00324401">
        <w:rPr>
          <w:rFonts w:asciiTheme="minorHAnsi" w:eastAsia="Google Sans" w:hAnsiTheme="minorHAnsi" w:cs="Google Sans"/>
        </w:rPr>
        <w:t>Część 4: 10 Kluczowych Wniosków - CHP i Sieć</w:t>
      </w:r>
    </w:p>
    <w:p w14:paraId="5C05B5EB" w14:textId="77777777" w:rsidR="00E42FD1" w:rsidRPr="00324401" w:rsidRDefault="00324401">
      <w:pPr>
        <w:pBdr>
          <w:top w:val="nil"/>
          <w:left w:val="nil"/>
          <w:bottom w:val="nil"/>
          <w:right w:val="nil"/>
          <w:between w:val="nil"/>
        </w:pBdr>
        <w:spacing w:after="120" w:line="275" w:lineRule="auto"/>
        <w:rPr>
          <w:rFonts w:asciiTheme="minorHAnsi" w:eastAsia="Google Sans Text" w:hAnsiTheme="minorHAnsi" w:cs="Google Sans Text"/>
          <w:i/>
        </w:rPr>
      </w:pPr>
      <w:r w:rsidRPr="00324401">
        <w:rPr>
          <w:rFonts w:asciiTheme="minorHAnsi" w:eastAsia="Google Sans Text" w:hAnsiTheme="minorHAnsi" w:cs="Google Sans Text"/>
          <w:i/>
        </w:rPr>
        <w:t>(Szacowany czas: 5 minut)</w:t>
      </w:r>
    </w:p>
    <w:p w14:paraId="6220D6A1"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Kogeneracja (CHP) to standard:</w:t>
      </w:r>
      <w:r w:rsidRPr="00324401">
        <w:rPr>
          <w:rFonts w:asciiTheme="minorHAnsi" w:eastAsia="Google Sans Text" w:hAnsiTheme="minorHAnsi" w:cs="Google Sans Text"/>
        </w:rPr>
        <w:t xml:space="preserve"> Jednoczesna produkcja prądu i ciepła jest najbardziej efektywnym sposobem wykorzystania biogazu.</w:t>
      </w:r>
    </w:p>
    <w:p w14:paraId="20D6D720"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 xml:space="preserve">Sprawność jest </w:t>
      </w:r>
      <w:r w:rsidRPr="00324401">
        <w:rPr>
          <w:rFonts w:asciiTheme="minorHAnsi" w:eastAsia="Google Sans Text" w:hAnsiTheme="minorHAnsi" w:cs="Google Sans Text"/>
          <w:b/>
        </w:rPr>
        <w:t>kluczowa:</w:t>
      </w:r>
      <w:r w:rsidRPr="00324401">
        <w:rPr>
          <w:rFonts w:asciiTheme="minorHAnsi" w:eastAsia="Google Sans Text" w:hAnsiTheme="minorHAnsi" w:cs="Google Sans Text"/>
        </w:rPr>
        <w:t xml:space="preserve"> Nowoczesne jednostki CHP osiągają sprawność elektryczną &gt;40% i całkowitą &gt;85%.</w:t>
      </w:r>
    </w:p>
    <w:p w14:paraId="6D07AB08"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Silnik musi być zdrowy:</w:t>
      </w:r>
      <w:r w:rsidRPr="00324401">
        <w:rPr>
          <w:rFonts w:asciiTheme="minorHAnsi" w:eastAsia="Google Sans Text" w:hAnsiTheme="minorHAnsi" w:cs="Google Sans Text"/>
        </w:rPr>
        <w:t xml:space="preserve"> Jakość biogazu (H₂S, wilgoć, siloksany) ma bezpośredni wpływ na żywotność i sprawność silnika. Uzdatnianie gazu to konieczność.</w:t>
      </w:r>
    </w:p>
    <w:p w14:paraId="5A394BE3"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Ciepło to produ</w:t>
      </w:r>
      <w:r w:rsidRPr="00324401">
        <w:rPr>
          <w:rFonts w:asciiTheme="minorHAnsi" w:eastAsia="Google Sans Text" w:hAnsiTheme="minorHAnsi" w:cs="Google Sans Text"/>
          <w:b/>
        </w:rPr>
        <w:t>kt:</w:t>
      </w:r>
      <w:r w:rsidRPr="00324401">
        <w:rPr>
          <w:rFonts w:asciiTheme="minorHAnsi" w:eastAsia="Google Sans Text" w:hAnsiTheme="minorHAnsi" w:cs="Google Sans Text"/>
        </w:rPr>
        <w:t xml:space="preserve"> Efektywność ekonomiczna biogazowni zależy w dużej mierze od zagospodarowania ciepła nadmiarowego (poza potrzeby procesu).</w:t>
      </w:r>
    </w:p>
    <w:p w14:paraId="63213893"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Chłodnica awaryjna to strata:</w:t>
      </w:r>
      <w:r w:rsidRPr="00324401">
        <w:rPr>
          <w:rFonts w:asciiTheme="minorHAnsi" w:eastAsia="Google Sans Text" w:hAnsiTheme="minorHAnsi" w:cs="Google Sans Text"/>
        </w:rPr>
        <w:t xml:space="preserve"> Jej częsta praca oznacza, że marnujemy pieniądze.</w:t>
      </w:r>
    </w:p>
    <w:p w14:paraId="0C845BF0"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Dobór mocy CHP jest krytyczny:</w:t>
      </w:r>
      <w:r w:rsidRPr="00324401">
        <w:rPr>
          <w:rFonts w:asciiTheme="minorHAnsi" w:eastAsia="Google Sans Text" w:hAnsiTheme="minorHAnsi" w:cs="Google Sans Text"/>
        </w:rPr>
        <w:t xml:space="preserve"> Agregat musi być do</w:t>
      </w:r>
      <w:r w:rsidRPr="00324401">
        <w:rPr>
          <w:rFonts w:asciiTheme="minorHAnsi" w:eastAsia="Google Sans Text" w:hAnsiTheme="minorHAnsi" w:cs="Google Sans Text"/>
        </w:rPr>
        <w:t>pasowany do stabilnej produkcji biogazu, aby pracować na wysokim obciążeniu.</w:t>
      </w:r>
    </w:p>
    <w:p w14:paraId="4CC7B551"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Przyłączenie do sieci (OSD) to proces:</w:t>
      </w:r>
      <w:r w:rsidRPr="00324401">
        <w:rPr>
          <w:rFonts w:asciiTheme="minorHAnsi" w:eastAsia="Google Sans Text" w:hAnsiTheme="minorHAnsi" w:cs="Google Sans Text"/>
        </w:rPr>
        <w:t xml:space="preserve"> Wymaga czasu, formalności (Wniosek o WP, Umowa) i generuje znaczące koszty.</w:t>
      </w:r>
    </w:p>
    <w:p w14:paraId="2483C7EF"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Ustawa o ułatwieniach pomaga:</w:t>
      </w:r>
      <w:r w:rsidRPr="00324401">
        <w:rPr>
          <w:rFonts w:asciiTheme="minorHAnsi" w:eastAsia="Google Sans Text" w:hAnsiTheme="minorHAnsi" w:cs="Google Sans Text"/>
        </w:rPr>
        <w:t xml:space="preserve"> Skraca termin na wydanie Warunków </w:t>
      </w:r>
      <w:r w:rsidRPr="00324401">
        <w:rPr>
          <w:rFonts w:asciiTheme="minorHAnsi" w:eastAsia="Google Sans Text" w:hAnsiTheme="minorHAnsi" w:cs="Google Sans Text"/>
        </w:rPr>
        <w:t>Przyłączenia (WP) do 90 dni dla instalacji &lt; 2 MW.</w:t>
      </w:r>
    </w:p>
    <w:p w14:paraId="6E99D7B0" w14:textId="77777777" w:rsidR="00E42FD1" w:rsidRPr="00324401" w:rsidRDefault="00324401">
      <w:pPr>
        <w:numPr>
          <w:ilvl w:val="0"/>
          <w:numId w:val="21"/>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b/>
        </w:rPr>
        <w:t>System wsparcia (FiT/FiP/Aukcje) decyduje o przychodach:</w:t>
      </w:r>
      <w:r w:rsidRPr="00324401">
        <w:rPr>
          <w:rFonts w:asciiTheme="minorHAnsi" w:eastAsia="Google Sans Text" w:hAnsiTheme="minorHAnsi" w:cs="Google Sans Text"/>
        </w:rPr>
        <w:t xml:space="preserve"> Należy świadomie wybrać model sprzedaży energii.</w:t>
      </w:r>
    </w:p>
    <w:p w14:paraId="1EF4802A" w14:textId="77777777" w:rsidR="00E42FD1" w:rsidRPr="00324401" w:rsidRDefault="00324401">
      <w:pPr>
        <w:numPr>
          <w:ilvl w:val="0"/>
          <w:numId w:val="21"/>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b/>
        </w:rPr>
        <w:lastRenderedPageBreak/>
        <w:t>Autokonsumpcja to czysty zysk:</w:t>
      </w:r>
      <w:r w:rsidRPr="00324401">
        <w:rPr>
          <w:rFonts w:asciiTheme="minorHAnsi" w:eastAsia="Google Sans Text" w:hAnsiTheme="minorHAnsi" w:cs="Google Sans Text"/>
        </w:rPr>
        <w:t xml:space="preserve"> Każda kilowatogodzina zużyta na potrzeby własne (5-10% produkcji) to</w:t>
      </w:r>
      <w:r w:rsidRPr="00324401">
        <w:rPr>
          <w:rFonts w:asciiTheme="minorHAnsi" w:eastAsia="Google Sans Text" w:hAnsiTheme="minorHAnsi" w:cs="Google Sans Text"/>
        </w:rPr>
        <w:t xml:space="preserve"> oszczędność na zakupie drogiej energii z sieci.</w:t>
      </w:r>
    </w:p>
    <w:p w14:paraId="24E57D3D" w14:textId="77777777" w:rsidR="00E42FD1" w:rsidRPr="00324401" w:rsidRDefault="00324401">
      <w:pPr>
        <w:pStyle w:val="Heading2"/>
        <w:spacing w:before="120" w:after="120" w:line="275" w:lineRule="auto"/>
        <w:rPr>
          <w:rFonts w:asciiTheme="minorHAnsi" w:eastAsia="Google Sans" w:hAnsiTheme="minorHAnsi" w:cs="Google Sans"/>
        </w:rPr>
      </w:pPr>
      <w:r w:rsidRPr="00324401">
        <w:rPr>
          <w:rFonts w:asciiTheme="minorHAnsi" w:eastAsia="Google Sans" w:hAnsiTheme="minorHAnsi" w:cs="Google Sans"/>
        </w:rPr>
        <w:t>Część 5: Podsumowanie i Quiz</w:t>
      </w:r>
    </w:p>
    <w:p w14:paraId="1302468F"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i/>
        </w:rPr>
      </w:pPr>
      <w:r w:rsidRPr="00324401">
        <w:rPr>
          <w:rFonts w:asciiTheme="minorHAnsi" w:eastAsia="Google Sans Text" w:hAnsiTheme="minorHAnsi" w:cs="Google Sans Text"/>
          <w:i/>
        </w:rPr>
        <w:t>(Szacowany czas: 10 minut)</w:t>
      </w:r>
    </w:p>
    <w:p w14:paraId="595994AB" w14:textId="77777777" w:rsidR="00E42FD1" w:rsidRPr="00324401" w:rsidRDefault="00324401">
      <w:pPr>
        <w:pStyle w:val="Heading3"/>
        <w:spacing w:before="0" w:after="120" w:line="275" w:lineRule="auto"/>
        <w:rPr>
          <w:rFonts w:asciiTheme="minorHAnsi" w:eastAsia="Google Sans" w:hAnsiTheme="minorHAnsi" w:cs="Google Sans"/>
        </w:rPr>
      </w:pPr>
      <w:r w:rsidRPr="00324401">
        <w:rPr>
          <w:rFonts w:asciiTheme="minorHAnsi" w:eastAsia="Google Sans" w:hAnsiTheme="minorHAnsi" w:cs="Google Sans"/>
        </w:rPr>
        <w:t>Podsumowanie:</w:t>
      </w:r>
    </w:p>
    <w:p w14:paraId="5CA95137"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 xml:space="preserve">Dzisiejszy moduł poświęciliśmy kluczowemu elementowi ekonomicznemu biogazowni – konwersji biogazu na energię. Zrozumieliśmy, że </w:t>
      </w:r>
      <w:r w:rsidRPr="00324401">
        <w:rPr>
          <w:rFonts w:asciiTheme="minorHAnsi" w:eastAsia="Google Sans Text" w:hAnsiTheme="minorHAnsi" w:cs="Google Sans Text"/>
        </w:rPr>
        <w:t>kogeneracja (CHP) jest podstawową technologią, pozwalającą na osiągnięcie bardzo wysokiej sprawności całkowitej poprzez jednoczesną produkcję prądu i ciepła. Przeanalizowaliśmy budowę i parametry techniczne nowoczesnych jednostek CHP, bazując na danych wio</w:t>
      </w:r>
      <w:r w:rsidRPr="00324401">
        <w:rPr>
          <w:rFonts w:asciiTheme="minorHAnsi" w:eastAsia="Google Sans Text" w:hAnsiTheme="minorHAnsi" w:cs="Google Sans Text"/>
        </w:rPr>
        <w:t>dących producentów. Nauczyliśmy się, jak obliczać sprawność elektryczną, cieplną i całkowitą, co jest niezbędne do oceny efektywności instalacji. Podkreśliliśmy absolutnie krytyczne znaczenie zagospodarowania ciepła – najpierw na potrzeby własne procesu, a</w:t>
      </w:r>
      <w:r w:rsidRPr="00324401">
        <w:rPr>
          <w:rFonts w:asciiTheme="minorHAnsi" w:eastAsia="Google Sans Text" w:hAnsiTheme="minorHAnsi" w:cs="Google Sans Text"/>
        </w:rPr>
        <w:t xml:space="preserve"> następnie na cele użytkowe (np. suszenie, ogrzewanie), gdyż ciepło "wyrzucone" w chłodnicy awaryjnej to czysta strata. Na koniec, prześledziliśmy formalną i techniczną ścieżkę przyłączenia biogazowni do sieci elektroenergetycznej, wskazując na rolę OSD, w</w:t>
      </w:r>
      <w:r w:rsidRPr="00324401">
        <w:rPr>
          <w:rFonts w:asciiTheme="minorHAnsi" w:eastAsia="Google Sans Text" w:hAnsiTheme="minorHAnsi" w:cs="Google Sans Text"/>
        </w:rPr>
        <w:t>ymagane dokumenty oraz ekonomiczne aspekty sprzedaży energii w różnych systemach wsparcia. Pamiętajcie Państwo, że biogazownia to mała elektrownia i ciepłownia – jej sprawne działanie techniczne i integracja z rynkiem energii decydują o sukcesie całego pro</w:t>
      </w:r>
      <w:r w:rsidRPr="00324401">
        <w:rPr>
          <w:rFonts w:asciiTheme="minorHAnsi" w:eastAsia="Google Sans Text" w:hAnsiTheme="minorHAnsi" w:cs="Google Sans Text"/>
        </w:rPr>
        <w:t>jektu.</w:t>
      </w:r>
    </w:p>
    <w:p w14:paraId="669D96CD" w14:textId="77777777" w:rsidR="00E42FD1" w:rsidRPr="00324401" w:rsidRDefault="00324401">
      <w:pPr>
        <w:pStyle w:val="Heading3"/>
        <w:spacing w:before="0" w:after="120" w:line="275" w:lineRule="auto"/>
        <w:rPr>
          <w:rFonts w:asciiTheme="minorHAnsi" w:eastAsia="Google Sans" w:hAnsiTheme="minorHAnsi" w:cs="Google Sans"/>
        </w:rPr>
      </w:pPr>
      <w:r w:rsidRPr="00324401">
        <w:rPr>
          <w:rFonts w:asciiTheme="minorHAnsi" w:eastAsia="Google Sans" w:hAnsiTheme="minorHAnsi" w:cs="Google Sans"/>
        </w:rPr>
        <w:t>Szybki Quiz:</w:t>
      </w:r>
    </w:p>
    <w:p w14:paraId="46AF1EEC" w14:textId="77777777" w:rsidR="00E42FD1" w:rsidRPr="00324401" w:rsidRDefault="00324401">
      <w:pPr>
        <w:numPr>
          <w:ilvl w:val="0"/>
          <w:numId w:val="2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Co oznacza skrót CHP i na czym polega ten proces?</w:t>
      </w:r>
      <w:r w:rsidRPr="00324401">
        <w:rPr>
          <w:rFonts w:asciiTheme="minorHAnsi" w:hAnsiTheme="minorHAnsi"/>
        </w:rPr>
        <w:br/>
      </w:r>
      <w:r w:rsidRPr="00324401">
        <w:rPr>
          <w:rFonts w:asciiTheme="minorHAnsi" w:eastAsia="Google Sans Text" w:hAnsiTheme="minorHAnsi" w:cs="Google Sans Text"/>
        </w:rPr>
        <w:t>(Odpowiedź: Combined Heat and Power (Kogeneracja) – jednoczesna produkcja energii elektrycznej i cieplnej z jednego paliwa.)</w:t>
      </w:r>
    </w:p>
    <w:p w14:paraId="47422584" w14:textId="77777777" w:rsidR="00E42FD1" w:rsidRPr="00324401" w:rsidRDefault="00324401">
      <w:pPr>
        <w:numPr>
          <w:ilvl w:val="0"/>
          <w:numId w:val="2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Wymień 3 kluczowe parametry techniczne jednostki kogeneracyjn</w:t>
      </w:r>
      <w:r w:rsidRPr="00324401">
        <w:rPr>
          <w:rFonts w:asciiTheme="minorHAnsi" w:eastAsia="Google Sans Text" w:hAnsiTheme="minorHAnsi" w:cs="Google Sans Text"/>
        </w:rPr>
        <w:t>ej.</w:t>
      </w:r>
      <w:r w:rsidRPr="00324401">
        <w:rPr>
          <w:rFonts w:asciiTheme="minorHAnsi" w:hAnsiTheme="minorHAnsi"/>
        </w:rPr>
        <w:br/>
      </w:r>
      <w:r w:rsidRPr="00324401">
        <w:rPr>
          <w:rFonts w:asciiTheme="minorHAnsi" w:eastAsia="Google Sans Text" w:hAnsiTheme="minorHAnsi" w:cs="Google Sans Text"/>
        </w:rPr>
        <w:t>(Odpowiedź: Moc elektryczna [kWel], Moc cieplna [kWth], Sprawność elektryczna [%], Sprawność cieplna [%], Sprawność całkowita [%])</w:t>
      </w:r>
    </w:p>
    <w:p w14:paraId="4FA6145D" w14:textId="77777777" w:rsidR="00E42FD1" w:rsidRPr="00324401" w:rsidRDefault="00324401">
      <w:pPr>
        <w:numPr>
          <w:ilvl w:val="0"/>
          <w:numId w:val="2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Jakie są dwa główne źródła odzysku ciepła w agregacie CHP?</w:t>
      </w:r>
      <w:r w:rsidRPr="00324401">
        <w:rPr>
          <w:rFonts w:asciiTheme="minorHAnsi" w:hAnsiTheme="minorHAnsi"/>
        </w:rPr>
        <w:br/>
      </w:r>
      <w:r w:rsidRPr="00324401">
        <w:rPr>
          <w:rFonts w:asciiTheme="minorHAnsi" w:eastAsia="Google Sans Text" w:hAnsiTheme="minorHAnsi" w:cs="Google Sans Text"/>
        </w:rPr>
        <w:t>(Odpowiedź: Układ chłodzenia silnika (płaszcz wodny, olej) ora</w:t>
      </w:r>
      <w:r w:rsidRPr="00324401">
        <w:rPr>
          <w:rFonts w:asciiTheme="minorHAnsi" w:eastAsia="Google Sans Text" w:hAnsiTheme="minorHAnsi" w:cs="Google Sans Text"/>
        </w:rPr>
        <w:t>z układ wylotowy (spaliny).)</w:t>
      </w:r>
    </w:p>
    <w:p w14:paraId="316824B4" w14:textId="77777777" w:rsidR="00E42FD1" w:rsidRPr="00324401" w:rsidRDefault="00324401">
      <w:pPr>
        <w:numPr>
          <w:ilvl w:val="0"/>
          <w:numId w:val="2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Do czego służy chłodnica awaryjna (rozpraszacz ciepła) i kiedy jest używana?</w:t>
      </w:r>
      <w:r w:rsidRPr="00324401">
        <w:rPr>
          <w:rFonts w:asciiTheme="minorHAnsi" w:hAnsiTheme="minorHAnsi"/>
        </w:rPr>
        <w:br/>
      </w:r>
      <w:r w:rsidRPr="00324401">
        <w:rPr>
          <w:rFonts w:asciiTheme="minorHAnsi" w:eastAsia="Google Sans Text" w:hAnsiTheme="minorHAnsi" w:cs="Google Sans Text"/>
        </w:rPr>
        <w:t xml:space="preserve">(Odpowiedź: Do rozproszenia nadmiaru ciepła, gdy zapotrzebowanie na ciepło jest mniejsze niż jego produkcja przez CHP, aby chronić silnik przed </w:t>
      </w:r>
      <w:r w:rsidRPr="00324401">
        <w:rPr>
          <w:rFonts w:asciiTheme="minorHAnsi" w:eastAsia="Google Sans Text" w:hAnsiTheme="minorHAnsi" w:cs="Google Sans Text"/>
        </w:rPr>
        <w:t>przegrzaniem.)</w:t>
      </w:r>
    </w:p>
    <w:p w14:paraId="0354DCF8" w14:textId="77777777" w:rsidR="00E42FD1" w:rsidRPr="00324401" w:rsidRDefault="00324401">
      <w:pPr>
        <w:numPr>
          <w:ilvl w:val="0"/>
          <w:numId w:val="22"/>
        </w:numPr>
        <w:pBdr>
          <w:top w:val="nil"/>
          <w:left w:val="nil"/>
          <w:bottom w:val="nil"/>
          <w:right w:val="nil"/>
          <w:between w:val="nil"/>
        </w:pBdr>
        <w:spacing w:line="275" w:lineRule="auto"/>
        <w:rPr>
          <w:rFonts w:asciiTheme="minorHAnsi" w:hAnsiTheme="minorHAnsi"/>
        </w:rPr>
      </w:pPr>
      <w:r w:rsidRPr="00324401">
        <w:rPr>
          <w:rFonts w:asciiTheme="minorHAnsi" w:eastAsia="Google Sans Text" w:hAnsiTheme="minorHAnsi" w:cs="Google Sans Text"/>
        </w:rPr>
        <w:t>Jak nazywa się dokument, o który inwestor musi wystąpić do Operatora Systemu Dystrybucyjnego (OSD), aby rozpocząć procedurę przyłączenia do sieci?</w:t>
      </w:r>
      <w:r w:rsidRPr="00324401">
        <w:rPr>
          <w:rFonts w:asciiTheme="minorHAnsi" w:hAnsiTheme="minorHAnsi"/>
        </w:rPr>
        <w:br/>
      </w:r>
      <w:r w:rsidRPr="00324401">
        <w:rPr>
          <w:rFonts w:asciiTheme="minorHAnsi" w:eastAsia="Google Sans Text" w:hAnsiTheme="minorHAnsi" w:cs="Google Sans Text"/>
        </w:rPr>
        <w:t>(Odpowiedź: Wniosek o określenie warunków przyłączenia (WP).)</w:t>
      </w:r>
    </w:p>
    <w:p w14:paraId="69ADC5D2" w14:textId="77777777" w:rsidR="00E42FD1" w:rsidRPr="00324401" w:rsidRDefault="00324401">
      <w:pPr>
        <w:numPr>
          <w:ilvl w:val="0"/>
          <w:numId w:val="22"/>
        </w:numPr>
        <w:pBdr>
          <w:top w:val="nil"/>
          <w:left w:val="nil"/>
          <w:bottom w:val="nil"/>
          <w:right w:val="nil"/>
          <w:between w:val="nil"/>
        </w:pBdr>
        <w:spacing w:after="120" w:line="275" w:lineRule="auto"/>
        <w:rPr>
          <w:rFonts w:asciiTheme="minorHAnsi" w:hAnsiTheme="minorHAnsi"/>
        </w:rPr>
      </w:pPr>
      <w:r w:rsidRPr="00324401">
        <w:rPr>
          <w:rFonts w:asciiTheme="minorHAnsi" w:eastAsia="Google Sans Text" w:hAnsiTheme="minorHAnsi" w:cs="Google Sans Text"/>
        </w:rPr>
        <w:t>Co oznacza skrót FiT</w:t>
      </w:r>
      <w:r w:rsidRPr="00324401">
        <w:rPr>
          <w:rFonts w:asciiTheme="minorHAnsi" w:eastAsia="Google Sans Text" w:hAnsiTheme="minorHAnsi" w:cs="Google Sans Text"/>
        </w:rPr>
        <w:t xml:space="preserve"> w kontekście systemów wsparcia OZE?</w:t>
      </w:r>
      <w:r w:rsidRPr="00324401">
        <w:rPr>
          <w:rFonts w:asciiTheme="minorHAnsi" w:hAnsiTheme="minorHAnsi"/>
        </w:rPr>
        <w:br/>
      </w:r>
      <w:r w:rsidRPr="00324401">
        <w:rPr>
          <w:rFonts w:asciiTheme="minorHAnsi" w:eastAsia="Google Sans Text" w:hAnsiTheme="minorHAnsi" w:cs="Google Sans Text"/>
        </w:rPr>
        <w:t>(Odpowiedź: Feed-in Tariff (Taryfa gwarantowana) – stała cena zakupu energii dla mniejszych instalacji.)</w:t>
      </w:r>
    </w:p>
    <w:p w14:paraId="4A8AFE2E" w14:textId="77777777" w:rsidR="00E42FD1" w:rsidRPr="00324401" w:rsidRDefault="00324401">
      <w:pPr>
        <w:pBdr>
          <w:top w:val="nil"/>
          <w:left w:val="nil"/>
          <w:bottom w:val="nil"/>
          <w:right w:val="nil"/>
          <w:between w:val="nil"/>
        </w:pBdr>
        <w:spacing w:before="120" w:after="240" w:line="275" w:lineRule="auto"/>
        <w:rPr>
          <w:rFonts w:asciiTheme="minorHAnsi" w:eastAsia="Google Sans Text" w:hAnsiTheme="minorHAnsi" w:cs="Google Sans Text"/>
          <w:i/>
        </w:rPr>
      </w:pPr>
      <w:r w:rsidRPr="00324401">
        <w:rPr>
          <w:rFonts w:asciiTheme="minorHAnsi" w:eastAsia="Google Sans Text" w:hAnsiTheme="minorHAnsi" w:cs="Google Sans Text"/>
          <w:i/>
        </w:rPr>
        <w:t>(Zebranie odpowiedzi quizu lub omówienie ich ustnie)</w:t>
      </w:r>
    </w:p>
    <w:p w14:paraId="514602FA" w14:textId="77777777" w:rsidR="00E42FD1" w:rsidRPr="00324401" w:rsidRDefault="00324401">
      <w:pPr>
        <w:pBdr>
          <w:top w:val="nil"/>
          <w:left w:val="nil"/>
          <w:bottom w:val="nil"/>
          <w:right w:val="nil"/>
          <w:between w:val="nil"/>
        </w:pBdr>
        <w:spacing w:after="240" w:line="275" w:lineRule="auto"/>
        <w:rPr>
          <w:rFonts w:asciiTheme="minorHAnsi" w:eastAsia="Google Sans Text" w:hAnsiTheme="minorHAnsi" w:cs="Google Sans Text"/>
        </w:rPr>
      </w:pPr>
      <w:r w:rsidRPr="00324401">
        <w:rPr>
          <w:rFonts w:asciiTheme="minorHAnsi" w:eastAsia="Google Sans Text" w:hAnsiTheme="minorHAnsi" w:cs="Google Sans Text"/>
        </w:rPr>
        <w:t>To kończy Moduł K. Dziękuję za uwagę.</w:t>
      </w:r>
    </w:p>
    <w:sectPr w:rsidR="00E42FD1" w:rsidRPr="00324401">
      <w:pgSz w:w="12240" w:h="15840"/>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1" w:fontKey="{4E85D1A0-C2C5-492F-92EE-96F224EFB3CD}"/>
    <w:embedItalic r:id="rId2" w:fontKey="{F5DE2690-EFC6-4326-A33D-E0C7AE2429D4}"/>
  </w:font>
  <w:font w:name="Cambria">
    <w:panose1 w:val="02040503050406030204"/>
    <w:charset w:val="EE"/>
    <w:family w:val="roman"/>
    <w:pitch w:val="variable"/>
    <w:sig w:usb0="E00006FF" w:usb1="420024FF" w:usb2="02000000" w:usb3="00000000" w:csb0="0000019F" w:csb1="00000000"/>
    <w:embedRegular r:id="rId3" w:fontKey="{7ABFF077-3563-431B-A6DB-387467F81A3C}"/>
    <w:embedBold r:id="rId4" w:fontKey="{9C0ACE18-E79E-41E4-8CA1-B2947A5707BB}"/>
    <w:embedItalic r:id="rId5" w:fontKey="{EDF59FD3-B6A2-48B8-8846-EB71DFE61F0A}"/>
  </w:font>
  <w:font w:name="Google Sans">
    <w:charset w:val="00"/>
    <w:family w:val="auto"/>
    <w:pitch w:val="default"/>
    <w:embedRegular r:id="rId6" w:fontKey="{39F10A66-9327-407C-AFC4-288CC6D8B97B}"/>
    <w:embedBold r:id="rId7" w:fontKey="{F1B8CE87-D06C-4AA6-B3F9-2F3A6868D6D5}"/>
  </w:font>
  <w:font w:name="Google Sans Text">
    <w:charset w:val="00"/>
    <w:family w:val="auto"/>
    <w:pitch w:val="default"/>
    <w:embedRegular r:id="rId8" w:fontKey="{AC2DE58A-06DE-4836-AF6C-D7F653337228}"/>
    <w:embedBold r:id="rId9" w:fontKey="{F0A7579D-FF71-433D-8B05-6407409C6E27}"/>
    <w:embedItalic r:id="rId10" w:fontKey="{E5079707-8BB6-45C6-9BA0-36FA48132869}"/>
  </w:font>
  <w:font w:name="Cambria Math">
    <w:panose1 w:val="02040503050406030204"/>
    <w:charset w:val="EE"/>
    <w:family w:val="roman"/>
    <w:pitch w:val="variable"/>
    <w:sig w:usb0="E00006FF" w:usb1="420024FF" w:usb2="02000000" w:usb3="00000000" w:csb0="0000019F" w:csb1="00000000"/>
    <w:embedRegular r:id="rId11" w:fontKey="{CF958B6B-44BC-49D7-8266-AE5C3DB51F41}"/>
    <w:embedBold r:id="rId12" w:fontKey="{124C17E1-EFF5-4181-A3F8-A44F4DDD15EE}"/>
    <w:embedItalic r:id="rId13" w:fontKey="{22BE761C-907B-458E-898F-75F3AC28478E}"/>
  </w:font>
  <w:font w:name="Calibri">
    <w:panose1 w:val="020F0502020204030204"/>
    <w:charset w:val="EE"/>
    <w:family w:val="swiss"/>
    <w:pitch w:val="variable"/>
    <w:sig w:usb0="E4002EFF" w:usb1="C200247B" w:usb2="00000009" w:usb3="00000000" w:csb0="000001FF" w:csb1="00000000"/>
    <w:embedRegular r:id="rId14" w:fontKey="{A7C8964A-39A0-4B23-A64B-EFB5A4D51EB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6504E"/>
    <w:multiLevelType w:val="multilevel"/>
    <w:tmpl w:val="0C5693E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nsid w:val="061E6F72"/>
    <w:multiLevelType w:val="multilevel"/>
    <w:tmpl w:val="9184FE0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nsid w:val="0A5F1149"/>
    <w:multiLevelType w:val="multilevel"/>
    <w:tmpl w:val="8232322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nsid w:val="0B916589"/>
    <w:multiLevelType w:val="multilevel"/>
    <w:tmpl w:val="012EAC6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nsid w:val="0C4B56E1"/>
    <w:multiLevelType w:val="multilevel"/>
    <w:tmpl w:val="94A8805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nsid w:val="0FD62784"/>
    <w:multiLevelType w:val="multilevel"/>
    <w:tmpl w:val="6A6AEBA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nsid w:val="0FF25C3C"/>
    <w:multiLevelType w:val="multilevel"/>
    <w:tmpl w:val="86F60DA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nsid w:val="112B4E1F"/>
    <w:multiLevelType w:val="multilevel"/>
    <w:tmpl w:val="7D8CF68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nsid w:val="119C4AF5"/>
    <w:multiLevelType w:val="multilevel"/>
    <w:tmpl w:val="9B603B5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nsid w:val="19C373C6"/>
    <w:multiLevelType w:val="multilevel"/>
    <w:tmpl w:val="8ACE703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nsid w:val="1C6579FA"/>
    <w:multiLevelType w:val="multilevel"/>
    <w:tmpl w:val="6AFEF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E8923AA"/>
    <w:multiLevelType w:val="multilevel"/>
    <w:tmpl w:val="C10A50A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nsid w:val="22DD30AD"/>
    <w:multiLevelType w:val="multilevel"/>
    <w:tmpl w:val="2FF65D9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nsid w:val="23953947"/>
    <w:multiLevelType w:val="multilevel"/>
    <w:tmpl w:val="8CC8640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nsid w:val="30E636B8"/>
    <w:multiLevelType w:val="multilevel"/>
    <w:tmpl w:val="D6AAF97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nsid w:val="31CC2EE7"/>
    <w:multiLevelType w:val="multilevel"/>
    <w:tmpl w:val="178EEFE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nsid w:val="33F5086B"/>
    <w:multiLevelType w:val="multilevel"/>
    <w:tmpl w:val="49EE859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nsid w:val="35B81A2C"/>
    <w:multiLevelType w:val="multilevel"/>
    <w:tmpl w:val="8DFC652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nsid w:val="38997BAB"/>
    <w:multiLevelType w:val="multilevel"/>
    <w:tmpl w:val="3F5C231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nsid w:val="3A3008CD"/>
    <w:multiLevelType w:val="multilevel"/>
    <w:tmpl w:val="A7225D2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nsid w:val="3C7225ED"/>
    <w:multiLevelType w:val="multilevel"/>
    <w:tmpl w:val="8270942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nsid w:val="3D745CF3"/>
    <w:multiLevelType w:val="multilevel"/>
    <w:tmpl w:val="1FB6F7C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nsid w:val="48E9623A"/>
    <w:multiLevelType w:val="multilevel"/>
    <w:tmpl w:val="4F4CA17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nsid w:val="496741FA"/>
    <w:multiLevelType w:val="multilevel"/>
    <w:tmpl w:val="9882399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nsid w:val="4EC10CB7"/>
    <w:multiLevelType w:val="multilevel"/>
    <w:tmpl w:val="EEE2EE0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nsid w:val="4F483D5B"/>
    <w:multiLevelType w:val="multilevel"/>
    <w:tmpl w:val="FDAA254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nsid w:val="4FA06294"/>
    <w:multiLevelType w:val="multilevel"/>
    <w:tmpl w:val="2124AF5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nsid w:val="541C044B"/>
    <w:multiLevelType w:val="multilevel"/>
    <w:tmpl w:val="D5B4095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nsid w:val="56DE4616"/>
    <w:multiLevelType w:val="multilevel"/>
    <w:tmpl w:val="E6F86EE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nsid w:val="608F1505"/>
    <w:multiLevelType w:val="multilevel"/>
    <w:tmpl w:val="3BFC95A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nsid w:val="631A25BC"/>
    <w:multiLevelType w:val="multilevel"/>
    <w:tmpl w:val="D0FE16D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nsid w:val="69EE0F21"/>
    <w:multiLevelType w:val="multilevel"/>
    <w:tmpl w:val="3B685B5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nsid w:val="6C3160A0"/>
    <w:multiLevelType w:val="multilevel"/>
    <w:tmpl w:val="3612CBE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nsid w:val="6C653AB2"/>
    <w:multiLevelType w:val="multilevel"/>
    <w:tmpl w:val="1BBE947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nsid w:val="71D12574"/>
    <w:multiLevelType w:val="multilevel"/>
    <w:tmpl w:val="19461BC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nsid w:val="79A74AFF"/>
    <w:multiLevelType w:val="multilevel"/>
    <w:tmpl w:val="BA54A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664519"/>
    <w:multiLevelType w:val="multilevel"/>
    <w:tmpl w:val="11FC4B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D851BD9"/>
    <w:multiLevelType w:val="multilevel"/>
    <w:tmpl w:val="136C8A9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13"/>
  </w:num>
  <w:num w:numId="2">
    <w:abstractNumId w:val="15"/>
  </w:num>
  <w:num w:numId="3">
    <w:abstractNumId w:val="5"/>
  </w:num>
  <w:num w:numId="4">
    <w:abstractNumId w:val="28"/>
  </w:num>
  <w:num w:numId="5">
    <w:abstractNumId w:val="7"/>
  </w:num>
  <w:num w:numId="6">
    <w:abstractNumId w:val="31"/>
  </w:num>
  <w:num w:numId="7">
    <w:abstractNumId w:val="37"/>
  </w:num>
  <w:num w:numId="8">
    <w:abstractNumId w:val="4"/>
  </w:num>
  <w:num w:numId="9">
    <w:abstractNumId w:val="22"/>
  </w:num>
  <w:num w:numId="10">
    <w:abstractNumId w:val="23"/>
  </w:num>
  <w:num w:numId="11">
    <w:abstractNumId w:val="24"/>
  </w:num>
  <w:num w:numId="12">
    <w:abstractNumId w:val="9"/>
  </w:num>
  <w:num w:numId="13">
    <w:abstractNumId w:val="12"/>
  </w:num>
  <w:num w:numId="14">
    <w:abstractNumId w:val="26"/>
  </w:num>
  <w:num w:numId="15">
    <w:abstractNumId w:val="30"/>
  </w:num>
  <w:num w:numId="16">
    <w:abstractNumId w:val="8"/>
  </w:num>
  <w:num w:numId="17">
    <w:abstractNumId w:val="20"/>
  </w:num>
  <w:num w:numId="18">
    <w:abstractNumId w:val="19"/>
  </w:num>
  <w:num w:numId="19">
    <w:abstractNumId w:val="3"/>
  </w:num>
  <w:num w:numId="20">
    <w:abstractNumId w:val="29"/>
  </w:num>
  <w:num w:numId="21">
    <w:abstractNumId w:val="11"/>
  </w:num>
  <w:num w:numId="22">
    <w:abstractNumId w:val="2"/>
  </w:num>
  <w:num w:numId="23">
    <w:abstractNumId w:val="17"/>
  </w:num>
  <w:num w:numId="24">
    <w:abstractNumId w:val="0"/>
  </w:num>
  <w:num w:numId="25">
    <w:abstractNumId w:val="18"/>
  </w:num>
  <w:num w:numId="26">
    <w:abstractNumId w:val="25"/>
  </w:num>
  <w:num w:numId="27">
    <w:abstractNumId w:val="34"/>
  </w:num>
  <w:num w:numId="28">
    <w:abstractNumId w:val="1"/>
  </w:num>
  <w:num w:numId="29">
    <w:abstractNumId w:val="21"/>
  </w:num>
  <w:num w:numId="30">
    <w:abstractNumId w:val="6"/>
  </w:num>
  <w:num w:numId="31">
    <w:abstractNumId w:val="14"/>
  </w:num>
  <w:num w:numId="32">
    <w:abstractNumId w:val="16"/>
  </w:num>
  <w:num w:numId="33">
    <w:abstractNumId w:val="33"/>
  </w:num>
  <w:num w:numId="34">
    <w:abstractNumId w:val="27"/>
  </w:num>
  <w:num w:numId="35">
    <w:abstractNumId w:val="32"/>
  </w:num>
  <w:num w:numId="36">
    <w:abstractNumId w:val="35"/>
  </w:num>
  <w:num w:numId="37">
    <w:abstractNumId w:val="10"/>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FD1"/>
    <w:rsid w:val="00324401"/>
    <w:rsid w:val="004B583A"/>
    <w:rsid w:val="007A2AE1"/>
    <w:rsid w:val="00DC0963"/>
    <w:rsid w:val="00E42F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11624"/>
  <w15:docId w15:val="{14589CE8-46CF-433D-996E-2EC162060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PL" w:eastAsia="pl-PL"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545928">
      <w:bodyDiv w:val="1"/>
      <w:marLeft w:val="0"/>
      <w:marRight w:val="0"/>
      <w:marTop w:val="0"/>
      <w:marBottom w:val="0"/>
      <w:divBdr>
        <w:top w:val="none" w:sz="0" w:space="0" w:color="auto"/>
        <w:left w:val="none" w:sz="0" w:space="0" w:color="auto"/>
        <w:bottom w:val="none" w:sz="0" w:space="0" w:color="auto"/>
        <w:right w:val="none" w:sz="0" w:space="0" w:color="auto"/>
      </w:divBdr>
    </w:div>
    <w:div w:id="1328897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3907</Words>
  <Characters>23444</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account</cp:lastModifiedBy>
  <cp:revision>4</cp:revision>
  <dcterms:created xsi:type="dcterms:W3CDTF">2025-10-26T16:03:00Z</dcterms:created>
  <dcterms:modified xsi:type="dcterms:W3CDTF">2025-10-26T21:44:00Z</dcterms:modified>
</cp:coreProperties>
</file>