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Moduł H: Od Pomysłu do Uruchomienia: Nawigacja przez Proces Inwestycyjny i Wymogi Prawne Biogazowni</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b w:val="1"/>
          <w:color w:val="1b1c1d"/>
          <w:rtl w:val="0"/>
        </w:rPr>
        <w:t xml:space="preserve">Czas trwania:</w:t>
      </w:r>
      <w:r w:rsidDel="00000000" w:rsidR="00000000" w:rsidRPr="00000000">
        <w:rPr>
          <w:rFonts w:ascii="Google Sans Text" w:cs="Google Sans Text" w:eastAsia="Google Sans Text" w:hAnsi="Google Sans Text"/>
          <w:color w:val="1b1c1d"/>
          <w:rtl w:val="0"/>
        </w:rPr>
        <w:t xml:space="preserve"> 3 godziny (180 minut)</w:t>
      </w:r>
    </w:p>
    <w:p w:rsidR="00000000" w:rsidDel="00000000" w:rsidP="00000000" w:rsidRDefault="00000000" w:rsidRPr="00000000" w14:paraId="00000003">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Część 1: Wykład - Proces Inwestycyjny i Procedury Formalno-Prawne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1"/>
          <w:color w:val="1b1c1d"/>
        </w:rPr>
      </w:pPr>
      <w:r w:rsidDel="00000000" w:rsidR="00000000" w:rsidRPr="00000000">
        <w:rPr>
          <w:rFonts w:ascii="Google Sans Text" w:cs="Google Sans Text" w:eastAsia="Google Sans Text" w:hAnsi="Google Sans Text"/>
          <w:i w:val="1"/>
          <w:color w:val="1b1c1d"/>
          <w:rtl w:val="0"/>
        </w:rPr>
        <w:t xml:space="preserve">(Szacowany czas: ~120 minut)</w:t>
      </w:r>
    </w:p>
    <w:p w:rsidR="00000000" w:rsidDel="00000000" w:rsidP="00000000" w:rsidRDefault="00000000" w:rsidRPr="00000000" w14:paraId="0000000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Wprowadzenie: Złożoność Procesu Inwestycyjnego Biogazowni</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Witam Państwa na module poświęconym formalno-prawnej stronie inwestycji w biogazownię rolniczą. Często skupiamy się na technologii, substratach czy ekonomice, zapominając, że bez sprawnego przejścia przez labirynt procedur administracyjnych, nawet najlepszy projekt pozostanie tylko na papierze. Proces inwestycyjny budowy biogazowni jest złożony, wieloetapowy, interdyscyplinarny, angażuje wiele instytucji i wymaga uzyskania szeregu pozwoleń, decyzji, opinii i uzgodnień. Jest to ścieżka, która wymaga nie tylko wiedzy technicznej, ale przede wszystkim cierpliwości, skrupulatności i dobrego planowania.</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Znaczenie prawidłowego zaplanowania i przeprowadzenia procedur formalno-prawnych jest kluczowe dla sukcesu projektu. Błędy na tym etapie, takie jak niekompletna dokumentacja (np. brak analizy wariantów w raporcie OOŚ, pominięcie istotnych oddziaływań), błędna interpretacja przepisów (np. niewłaściwa kwalifikacja przedsięwzięcia pod kątem oceny środowiskowej) czy zignorowanie wymogów środowiskowych lub warunków lokalnych, mogą prowadzić do znaczących opóźnień (liczonych w miesiącach, a nawet latach – np. w wyniku konieczności uzupełniania dokumentacji, odwołań od decyzji), nieprzewidzianego wzrostu kosztów (np. na dodatkowe ekspertyzy, modyfikacje projektu w celu spełnienia warunków, koszty obsługi prawnej) lub w skrajnych przypadkach do odmowy wydania kluczowych decyzji (np. negatywna decyzja środowiskowa, odmowa pozwolenia na budowę) i fiaska całej inwestycji. Zdarzały się sytuacje, gdzie projekty upadały właśnie na etapie formalności, mimo dobrze rokującej technologii i ekonomiki.</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Dlatego dzisiaj prześledzimy całą ścieżkę – od wstępnej koncepcji po uruchomienie instalacji i jej eksploatację – identyfikując kluczowe etapy, wymagane dokumenty, terminy ustawowe (choć w praktyce często dłuższe) i zaangażowane organy administracji. Zwrócimy też szczególną uwagę na specyficzne obowiązki związane z gospodarką odpadami, w tym różnymi ścieżkami legalnego zagospodarowania pofermentu, oraz potencjalne wymogi sanitarne (weterynaryjne) czy energetyczne, które mogą pojawić się w trakcie procesu. Zrozumienie tych procedur pozwoli Państwu lepiej zaplanować inwestycję, oszacować realny czas jej trwania, zidentyfikować potencjalne ryzyka i uniknąć kosztownych pułapek.</w:t>
      </w:r>
    </w:p>
    <w:p w:rsidR="00000000" w:rsidDel="00000000" w:rsidP="00000000" w:rsidRDefault="00000000" w:rsidRPr="00000000" w14:paraId="00000009">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Etapy Procesu Inwestycyjnego Biogazowni Rolniczej</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Proces inwestycyjny możemy podzielić na kilka głównych faz, z których każda wiąże się z określonymi działaniami i wymogami formalnymi:</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(Schemat procesu inwestycyjnego – </w:t>
      </w:r>
      <w:r w:rsidDel="00000000" w:rsidR="00000000" w:rsidRPr="00000000">
        <w:rPr>
          <w:rFonts w:ascii="Google Sans Text" w:cs="Google Sans Text" w:eastAsia="Google Sans Text" w:hAnsi="Google Sans Text"/>
          <w:b w:val="1"/>
          <w:i w:val="1"/>
          <w:color w:val="1b1c1d"/>
          <w:rtl w:val="0"/>
        </w:rPr>
        <w:t xml:space="preserve">można wyświetlić uproszczony schemat z pliku Biogaz - Produkcja Wykorzystywanie.pdf, Rysunek 6-1 , dostosowując go do etapów poniżej</w:t>
      </w:r>
      <w:r w:rsidDel="00000000" w:rsidR="00000000" w:rsidRPr="00000000">
        <w:rPr>
          <w:rFonts w:ascii="Google Sans Text" w:cs="Google Sans Text" w:eastAsia="Google Sans Text" w:hAnsi="Google Sans Text"/>
          <w:b w:val="1"/>
          <w:color w:val="1b1c1d"/>
          <w:rtl w:val="0"/>
        </w:rPr>
        <w:t xml:space="preserve">)</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1. Faza Koncepcyjna:</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Pomysł i wstępna analiza:</w:t>
      </w:r>
      <w:r w:rsidDel="00000000" w:rsidR="00000000" w:rsidRPr="00000000">
        <w:rPr>
          <w:rFonts w:ascii="Google Sans Text" w:cs="Google Sans Text" w:eastAsia="Google Sans Text" w:hAnsi="Google Sans Text"/>
          <w:color w:val="1b1c1d"/>
          <w:rtl w:val="0"/>
        </w:rPr>
        <w:t xml:space="preserve"> Identyfikacja potrzeby (np. zagospodarowanie gnojowicy, dywersyfikacja dochodów) lub możliwości budowy biogazowni. Ocena dostępności </w:t>
      </w:r>
      <w:r w:rsidDel="00000000" w:rsidR="00000000" w:rsidRPr="00000000">
        <w:rPr>
          <w:rFonts w:ascii="Google Sans Text" w:cs="Google Sans Text" w:eastAsia="Google Sans Text" w:hAnsi="Google Sans Text"/>
          <w:b w:val="1"/>
          <w:color w:val="1b1c1d"/>
          <w:rtl w:val="0"/>
        </w:rPr>
        <w:t xml:space="preserve">podstawowych, stabilnych substratów</w:t>
      </w:r>
      <w:r w:rsidDel="00000000" w:rsidR="00000000" w:rsidRPr="00000000">
        <w:rPr>
          <w:rFonts w:ascii="Google Sans Text" w:cs="Google Sans Text" w:eastAsia="Google Sans Text" w:hAnsi="Google Sans Text"/>
          <w:color w:val="1b1c1d"/>
          <w:rtl w:val="0"/>
        </w:rPr>
        <w:t xml:space="preserve"> (np. z własnego gospodarstwa, lokalnych zakładów przetwórczych). Wstępne szacunki dotyczące skali instalacji (moc elektryczna/cieplna, przepustowość substratowa) i potencjalnych przychodów (sprzedaż energii w systemach wsparcia, sprzedaż ciepła, oszczędności). Przeprowadzenie </w:t>
      </w:r>
      <w:r w:rsidDel="00000000" w:rsidR="00000000" w:rsidRPr="00000000">
        <w:rPr>
          <w:rFonts w:ascii="Google Sans Text" w:cs="Google Sans Text" w:eastAsia="Google Sans Text" w:hAnsi="Google Sans Text"/>
          <w:b w:val="1"/>
          <w:color w:val="1b1c1d"/>
          <w:rtl w:val="0"/>
        </w:rPr>
        <w:t xml:space="preserve">wstępnej analizy opłacalności</w:t>
      </w:r>
      <w:r w:rsidDel="00000000" w:rsidR="00000000" w:rsidRPr="00000000">
        <w:rPr>
          <w:rFonts w:ascii="Google Sans Text" w:cs="Google Sans Text" w:eastAsia="Google Sans Text" w:hAnsi="Google Sans Text"/>
          <w:color w:val="1b1c1d"/>
          <w:rtl w:val="0"/>
        </w:rPr>
        <w:t xml:space="preserve"> (szacunkowe CAPEX i OPEX vs przychody). Przeprowadzenie wstępnej analizy ryzyka (technologicznego, rynkowego, formalno-prawnego, społecznego). Na tym etapie kluczowe jest również wykonanie </w:t>
      </w:r>
      <w:r w:rsidDel="00000000" w:rsidR="00000000" w:rsidRPr="00000000">
        <w:rPr>
          <w:rFonts w:ascii="Google Sans Text" w:cs="Google Sans Text" w:eastAsia="Google Sans Text" w:hAnsi="Google Sans Text"/>
          <w:b w:val="1"/>
          <w:color w:val="1b1c1d"/>
          <w:rtl w:val="0"/>
        </w:rPr>
        <w:t xml:space="preserve">szkicu projektu (koncepcji technologicznej)</w:t>
      </w:r>
      <w:r w:rsidDel="00000000" w:rsidR="00000000" w:rsidRPr="00000000">
        <w:rPr>
          <w:rFonts w:ascii="Google Sans Text" w:cs="Google Sans Text" w:eastAsia="Google Sans Text" w:hAnsi="Google Sans Text"/>
          <w:color w:val="1b1c1d"/>
          <w:rtl w:val="0"/>
        </w:rPr>
        <w:t xml:space="preserve"> jako podstawy do dalszych działań. Należy ocenić projekt jako </w:t>
      </w:r>
      <w:r w:rsidDel="00000000" w:rsidR="00000000" w:rsidRPr="00000000">
        <w:rPr>
          <w:rFonts w:ascii="Google Sans Text" w:cs="Google Sans Text" w:eastAsia="Google Sans Text" w:hAnsi="Google Sans Text"/>
          <w:b w:val="1"/>
          <w:color w:val="1b1c1d"/>
          <w:rtl w:val="0"/>
        </w:rPr>
        <w:t xml:space="preserve">całościowy system</w:t>
      </w:r>
      <w:r w:rsidDel="00000000" w:rsidR="00000000" w:rsidRPr="00000000">
        <w:rPr>
          <w:rFonts w:ascii="Google Sans Text" w:cs="Google Sans Text" w:eastAsia="Google Sans Text" w:hAnsi="Google Sans Text"/>
          <w:color w:val="1b1c1d"/>
          <w:rtl w:val="0"/>
        </w:rPr>
        <w:t xml:space="preserve"> – od logistyki zbioru/dostaw substratów, przez technologię fermentacji, oczyszczanie i wykorzystanie biogazu, po magazynowanie i zagospodarowanie pofermentu.</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Wybór lokalizacji:</w:t>
      </w:r>
      <w:r w:rsidDel="00000000" w:rsidR="00000000" w:rsidRPr="00000000">
        <w:rPr>
          <w:rFonts w:ascii="Google Sans Text" w:cs="Google Sans Text" w:eastAsia="Google Sans Text" w:hAnsi="Google Sans Text"/>
          <w:color w:val="1b1c1d"/>
          <w:rtl w:val="0"/>
        </w:rPr>
        <w:t xml:space="preserve"> Analiza potencjalnych działek. Kryteria techniczne (wielkość min. 1.5-2.5 ha dla 0.5-1 MWe, kształt, topografia, geologia – </w:t>
      </w:r>
      <w:r w:rsidDel="00000000" w:rsidR="00000000" w:rsidRPr="00000000">
        <w:rPr>
          <w:rFonts w:ascii="Google Sans Text" w:cs="Google Sans Text" w:eastAsia="Google Sans Text" w:hAnsi="Google Sans Text"/>
          <w:b w:val="1"/>
          <w:color w:val="1b1c1d"/>
          <w:rtl w:val="0"/>
        </w:rPr>
        <w:t xml:space="preserve">konieczne wstępne rozpoznanie geotechniczne</w:t>
      </w:r>
      <w:r w:rsidDel="00000000" w:rsidR="00000000" w:rsidRPr="00000000">
        <w:rPr>
          <w:rFonts w:ascii="Google Sans Text" w:cs="Google Sans Text" w:eastAsia="Google Sans Text" w:hAnsi="Google Sans Text"/>
          <w:color w:val="1b1c1d"/>
          <w:rtl w:val="0"/>
        </w:rPr>
        <w:t xml:space="preserve">, dostęp do mediów – </w:t>
      </w:r>
      <w:r w:rsidDel="00000000" w:rsidR="00000000" w:rsidRPr="00000000">
        <w:rPr>
          <w:rFonts w:ascii="Google Sans Text" w:cs="Google Sans Text" w:eastAsia="Google Sans Text" w:hAnsi="Google Sans Text"/>
          <w:b w:val="1"/>
          <w:color w:val="1b1c1d"/>
          <w:rtl w:val="0"/>
        </w:rPr>
        <w:t xml:space="preserve">kluczowa bliskość sieci elektroenergetycznej o odpowiedniej mocy</w:t>
      </w:r>
      <w:r w:rsidDel="00000000" w:rsidR="00000000" w:rsidRPr="00000000">
        <w:rPr>
          <w:rFonts w:ascii="Google Sans Text" w:cs="Google Sans Text" w:eastAsia="Google Sans Text" w:hAnsi="Google Sans Text"/>
          <w:color w:val="1b1c1d"/>
          <w:rtl w:val="0"/>
        </w:rPr>
        <w:t xml:space="preserve">). Kryteria logistyczne (bliskość głównych źródeł substratów – </w:t>
      </w:r>
      <w:r w:rsidDel="00000000" w:rsidR="00000000" w:rsidRPr="00000000">
        <w:rPr>
          <w:rFonts w:ascii="Google Sans Text" w:cs="Google Sans Text" w:eastAsia="Google Sans Text" w:hAnsi="Google Sans Text"/>
          <w:b w:val="1"/>
          <w:color w:val="1b1c1d"/>
          <w:rtl w:val="0"/>
        </w:rPr>
        <w:t xml:space="preserve">promień zasilania optymalnie &lt;15-20 km</w:t>
      </w:r>
      <w:r w:rsidDel="00000000" w:rsidR="00000000" w:rsidRPr="00000000">
        <w:rPr>
          <w:rFonts w:ascii="Google Sans Text" w:cs="Google Sans Text" w:eastAsia="Google Sans Text" w:hAnsi="Google Sans Text"/>
          <w:color w:val="1b1c1d"/>
          <w:rtl w:val="0"/>
        </w:rPr>
        <w:t xml:space="preserve">, jakość dróg dojazdowych dla ciężkiego transportu, bliskość pól pod poferment). Kryteria środowiskowe (odległość od zabudowy – </w:t>
      </w:r>
      <w:r w:rsidDel="00000000" w:rsidR="00000000" w:rsidRPr="00000000">
        <w:rPr>
          <w:rFonts w:ascii="Google Sans Text" w:cs="Google Sans Text" w:eastAsia="Google Sans Text" w:hAnsi="Google Sans Text"/>
          <w:b w:val="1"/>
          <w:color w:val="1b1c1d"/>
          <w:rtl w:val="0"/>
        </w:rPr>
        <w:t xml:space="preserve">min. 500m jako punkt wyjścia</w:t>
      </w:r>
      <w:r w:rsidDel="00000000" w:rsidR="00000000" w:rsidRPr="00000000">
        <w:rPr>
          <w:rFonts w:ascii="Google Sans Text" w:cs="Google Sans Text" w:eastAsia="Google Sans Text" w:hAnsi="Google Sans Text"/>
          <w:color w:val="1b1c1d"/>
          <w:rtl w:val="0"/>
        </w:rPr>
        <w:t xml:space="preserve">, odległość od obszarów chronionych, stref ochrony wód, analiza róży wiatrów). Kryteria społeczne (wstępna ocena potencjalnej akceptacji). Badanie uwarunkowań planistycznych (MPZP/studium). Niezbędne jest </w:t>
      </w:r>
      <w:r w:rsidDel="00000000" w:rsidR="00000000" w:rsidRPr="00000000">
        <w:rPr>
          <w:rFonts w:ascii="Google Sans Text" w:cs="Google Sans Text" w:eastAsia="Google Sans Text" w:hAnsi="Google Sans Text"/>
          <w:b w:val="1"/>
          <w:color w:val="1b1c1d"/>
          <w:rtl w:val="0"/>
        </w:rPr>
        <w:t xml:space="preserve">zabezpieczenie tytułu prawnego do gruntu</w:t>
      </w:r>
      <w:r w:rsidDel="00000000" w:rsidR="00000000" w:rsidRPr="00000000">
        <w:rPr>
          <w:rFonts w:ascii="Google Sans Text" w:cs="Google Sans Text" w:eastAsia="Google Sans Text" w:hAnsi="Google Sans Text"/>
          <w:color w:val="1b1c1d"/>
          <w:rtl w:val="0"/>
        </w:rPr>
        <w:t xml:space="preserve"> (własność, dzierżawa wieloletnia min. na okres kredytowania + kilka lat) przed poniesieniem znaczących kosztów na dokumentację. Wskazany jest </w:t>
      </w:r>
      <w:r w:rsidDel="00000000" w:rsidR="00000000" w:rsidRPr="00000000">
        <w:rPr>
          <w:rFonts w:ascii="Google Sans Text" w:cs="Google Sans Text" w:eastAsia="Google Sans Text" w:hAnsi="Google Sans Text"/>
          <w:b w:val="1"/>
          <w:color w:val="1b1c1d"/>
          <w:rtl w:val="0"/>
        </w:rPr>
        <w:t xml:space="preserve">wczesny, nieformalny kontakt z urzędem gminy</w:t>
      </w:r>
      <w:r w:rsidDel="00000000" w:rsidR="00000000" w:rsidRPr="00000000">
        <w:rPr>
          <w:rFonts w:ascii="Google Sans Text" w:cs="Google Sans Text" w:eastAsia="Google Sans Text" w:hAnsi="Google Sans Text"/>
          <w:color w:val="1b1c1d"/>
          <w:rtl w:val="0"/>
        </w:rPr>
        <w:t xml:space="preserve">, aby zorientować się w lokalnych uwarunkowaniach, planach rozwoju i potencjalnym nastawieniu władz.</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Zabezpieczenie substratów:</w:t>
      </w:r>
      <w:r w:rsidDel="00000000" w:rsidR="00000000" w:rsidRPr="00000000">
        <w:rPr>
          <w:rFonts w:ascii="Google Sans Text" w:cs="Google Sans Text" w:eastAsia="Google Sans Text" w:hAnsi="Google Sans Text"/>
          <w:color w:val="1b1c1d"/>
          <w:rtl w:val="0"/>
        </w:rPr>
        <w:t xml:space="preserve"> Potwierdzenie dostępności kluczowych substratów (ilość, jakość, parametry – s.m., s.m.o., potencjał metanowy, C:N, inhibitory) w wymaganej ilości i przez cały okres planowanej eksploatacji. Ewentualne wstępne umowy lub listy intencyjne z dostawcami (np. rolnikami, zakładami przetwórczymi). Należy zbadać </w:t>
      </w:r>
      <w:r w:rsidDel="00000000" w:rsidR="00000000" w:rsidRPr="00000000">
        <w:rPr>
          <w:rFonts w:ascii="Google Sans Text" w:cs="Google Sans Text" w:eastAsia="Google Sans Text" w:hAnsi="Google Sans Text"/>
          <w:b w:val="1"/>
          <w:color w:val="1b1c1d"/>
          <w:rtl w:val="0"/>
        </w:rPr>
        <w:t xml:space="preserve">długoterminową dostępność i stabilność cen</w:t>
      </w:r>
      <w:r w:rsidDel="00000000" w:rsidR="00000000" w:rsidRPr="00000000">
        <w:rPr>
          <w:rFonts w:ascii="Google Sans Text" w:cs="Google Sans Text" w:eastAsia="Google Sans Text" w:hAnsi="Google Sans Text"/>
          <w:color w:val="1b1c1d"/>
          <w:rtl w:val="0"/>
        </w:rPr>
        <w:t xml:space="preserve"> substratów, w tym tych spoza własnego zakładu. Należy uwzględnić logistykę magazynowania (wymagane powierzchnie silosów, zbiorników).</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2. Faza Przygotowawcza (Formalno-Prawna):</w:t>
      </w:r>
    </w:p>
    <w:p w:rsidR="00000000" w:rsidDel="00000000" w:rsidP="00000000" w:rsidRDefault="00000000" w:rsidRPr="00000000" w14:paraId="00000011">
      <w:pPr>
        <w:numPr>
          <w:ilvl w:val="0"/>
          <w:numId w:val="7"/>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Uzyskanie Decyzji o Środowiskowych Uwarunkowaniach (DUŚ):</w:t>
      </w:r>
    </w:p>
    <w:p w:rsidR="00000000" w:rsidDel="00000000" w:rsidP="00000000" w:rsidRDefault="00000000" w:rsidRPr="00000000" w14:paraId="00000012">
      <w:pPr>
        <w:numPr>
          <w:ilvl w:val="1"/>
          <w:numId w:val="8"/>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Jest to jedna z pierwszych i kluczowych decyzji. Bez niej nie można uzyskać WZ ani PnB. W zależności od kwalifikacji przedsięwzięcia (moc, rodzaj substratów – zwłaszcza odpadów, lokalizacja np. blisko obszarów chronionych), wymagane jest złożenie </w:t>
      </w:r>
      <w:r w:rsidDel="00000000" w:rsidR="00000000" w:rsidRPr="00000000">
        <w:rPr>
          <w:rFonts w:ascii="Google Sans Text" w:cs="Google Sans Text" w:eastAsia="Google Sans Text" w:hAnsi="Google Sans Text"/>
          <w:b w:val="1"/>
          <w:color w:val="1b1c1d"/>
          <w:rtl w:val="0"/>
        </w:rPr>
        <w:t xml:space="preserve">Karty Informacyjnej Przedsięwzięcia (KIP)</w:t>
      </w:r>
      <w:r w:rsidDel="00000000" w:rsidR="00000000" w:rsidRPr="00000000">
        <w:rPr>
          <w:rFonts w:ascii="Google Sans Text" w:cs="Google Sans Text" w:eastAsia="Google Sans Text" w:hAnsi="Google Sans Text"/>
          <w:color w:val="1b1c1d"/>
          <w:rtl w:val="0"/>
        </w:rPr>
        <w:t xml:space="preserve"> (dla przedsięwzięć </w:t>
      </w:r>
      <w:r w:rsidDel="00000000" w:rsidR="00000000" w:rsidRPr="00000000">
        <w:rPr>
          <w:rFonts w:ascii="Google Sans Text" w:cs="Google Sans Text" w:eastAsia="Google Sans Text" w:hAnsi="Google Sans Text"/>
          <w:i w:val="1"/>
          <w:color w:val="1b1c1d"/>
          <w:rtl w:val="0"/>
        </w:rPr>
        <w:t xml:space="preserve">potencjalnie</w:t>
      </w:r>
      <w:r w:rsidDel="00000000" w:rsidR="00000000" w:rsidRPr="00000000">
        <w:rPr>
          <w:rFonts w:ascii="Google Sans Text" w:cs="Google Sans Text" w:eastAsia="Google Sans Text" w:hAnsi="Google Sans Text"/>
          <w:color w:val="1b1c1d"/>
          <w:rtl w:val="0"/>
        </w:rPr>
        <w:t xml:space="preserve"> znacząco oddziałujących) lub przeprowadzenie pełnej </w:t>
      </w:r>
      <w:r w:rsidDel="00000000" w:rsidR="00000000" w:rsidRPr="00000000">
        <w:rPr>
          <w:rFonts w:ascii="Google Sans Text" w:cs="Google Sans Text" w:eastAsia="Google Sans Text" w:hAnsi="Google Sans Text"/>
          <w:b w:val="1"/>
          <w:color w:val="1b1c1d"/>
          <w:rtl w:val="0"/>
        </w:rPr>
        <w:t xml:space="preserve">Oceny Oddziaływania na Środowisko (OOŚ)</w:t>
      </w:r>
      <w:r w:rsidDel="00000000" w:rsidR="00000000" w:rsidRPr="00000000">
        <w:rPr>
          <w:rFonts w:ascii="Google Sans Text" w:cs="Google Sans Text" w:eastAsia="Google Sans Text" w:hAnsi="Google Sans Text"/>
          <w:color w:val="1b1c1d"/>
          <w:rtl w:val="0"/>
        </w:rPr>
        <w:t xml:space="preserve"> i sporządzenie </w:t>
      </w:r>
      <w:r w:rsidDel="00000000" w:rsidR="00000000" w:rsidRPr="00000000">
        <w:rPr>
          <w:rFonts w:ascii="Google Sans Text" w:cs="Google Sans Text" w:eastAsia="Google Sans Text" w:hAnsi="Google Sans Text"/>
          <w:b w:val="1"/>
          <w:color w:val="1b1c1d"/>
          <w:rtl w:val="0"/>
        </w:rPr>
        <w:t xml:space="preserve">Raportu OOŚ</w:t>
      </w:r>
      <w:r w:rsidDel="00000000" w:rsidR="00000000" w:rsidRPr="00000000">
        <w:rPr>
          <w:rFonts w:ascii="Google Sans Text" w:cs="Google Sans Text" w:eastAsia="Google Sans Text" w:hAnsi="Google Sans Text"/>
          <w:color w:val="1b1c1d"/>
          <w:rtl w:val="0"/>
        </w:rPr>
        <w:t xml:space="preserve"> (dla przedsięwzięć </w:t>
      </w:r>
      <w:r w:rsidDel="00000000" w:rsidR="00000000" w:rsidRPr="00000000">
        <w:rPr>
          <w:rFonts w:ascii="Google Sans Text" w:cs="Google Sans Text" w:eastAsia="Google Sans Text" w:hAnsi="Google Sans Text"/>
          <w:i w:val="1"/>
          <w:color w:val="1b1c1d"/>
          <w:rtl w:val="0"/>
        </w:rPr>
        <w:t xml:space="preserve">zawsze</w:t>
      </w:r>
      <w:r w:rsidDel="00000000" w:rsidR="00000000" w:rsidRPr="00000000">
        <w:rPr>
          <w:rFonts w:ascii="Google Sans Text" w:cs="Google Sans Text" w:eastAsia="Google Sans Text" w:hAnsi="Google Sans Text"/>
          <w:color w:val="1b1c1d"/>
          <w:rtl w:val="0"/>
        </w:rPr>
        <w:t xml:space="preserve"> znacząco oddziałujących lub jeśli organ tak postanowi po analizie KIP). Kwalifikację określa Rozporządzenie RM ws. przedsięwzięć mogących znacząco oddziaływać na środowisko.</w:t>
      </w:r>
    </w:p>
    <w:p w:rsidR="00000000" w:rsidDel="00000000" w:rsidP="00000000" w:rsidRDefault="00000000" w:rsidRPr="00000000" w14:paraId="00000013">
      <w:pPr>
        <w:numPr>
          <w:ilvl w:val="1"/>
          <w:numId w:val="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Procedura OOŚ jest bardziej skomplikowana i czasochłonna (może trwać rok lub dłużej). Wymaga szczegółowych analiz (modelowanie rozprzestrzeniania zanieczyszczeń powietrza – w tym odorów, analiza hałasu, wpływu na wody powierzchniowe i podziemne, glebę, klimat, bioróżnorodność, krajobraz, zdrowie ludzi, zabytki). Należy przedstawić </w:t>
      </w:r>
      <w:r w:rsidDel="00000000" w:rsidR="00000000" w:rsidRPr="00000000">
        <w:rPr>
          <w:rFonts w:ascii="Google Sans Text" w:cs="Google Sans Text" w:eastAsia="Google Sans Text" w:hAnsi="Google Sans Text"/>
          <w:b w:val="1"/>
          <w:color w:val="1b1c1d"/>
          <w:rtl w:val="0"/>
        </w:rPr>
        <w:t xml:space="preserve">analizę wariantów</w:t>
      </w:r>
      <w:r w:rsidDel="00000000" w:rsidR="00000000" w:rsidRPr="00000000">
        <w:rPr>
          <w:rFonts w:ascii="Google Sans Text" w:cs="Google Sans Text" w:eastAsia="Google Sans Text" w:hAnsi="Google Sans Text"/>
          <w:color w:val="1b1c1d"/>
          <w:rtl w:val="0"/>
        </w:rPr>
        <w:t xml:space="preserve"> (lokalizacyjnych, technologicznych, racjonalny wariant alternatywny, wariant najkorzystniejszy dla środowiska). Kluczowa jest również </w:t>
      </w:r>
      <w:r w:rsidDel="00000000" w:rsidR="00000000" w:rsidRPr="00000000">
        <w:rPr>
          <w:rFonts w:ascii="Google Sans Text" w:cs="Google Sans Text" w:eastAsia="Google Sans Text" w:hAnsi="Google Sans Text"/>
          <w:b w:val="1"/>
          <w:color w:val="1b1c1d"/>
          <w:rtl w:val="0"/>
        </w:rPr>
        <w:t xml:space="preserve">analiza oddziaływań skumulowanych</w:t>
      </w:r>
      <w:r w:rsidDel="00000000" w:rsidR="00000000" w:rsidRPr="00000000">
        <w:rPr>
          <w:rFonts w:ascii="Google Sans Text" w:cs="Google Sans Text" w:eastAsia="Google Sans Text" w:hAnsi="Google Sans Text"/>
          <w:color w:val="1b1c1d"/>
          <w:rtl w:val="0"/>
        </w:rPr>
        <w:t xml:space="preserve">.</w:t>
      </w:r>
    </w:p>
    <w:p w:rsidR="00000000" w:rsidDel="00000000" w:rsidP="00000000" w:rsidRDefault="00000000" w:rsidRPr="00000000" w14:paraId="00000014">
      <w:pPr>
        <w:numPr>
          <w:ilvl w:val="1"/>
          <w:numId w:val="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Ważnym elementem jest </w:t>
      </w:r>
      <w:r w:rsidDel="00000000" w:rsidR="00000000" w:rsidRPr="00000000">
        <w:rPr>
          <w:rFonts w:ascii="Google Sans Text" w:cs="Google Sans Text" w:eastAsia="Google Sans Text" w:hAnsi="Google Sans Text"/>
          <w:b w:val="1"/>
          <w:color w:val="1b1c1d"/>
          <w:rtl w:val="0"/>
        </w:rPr>
        <w:t xml:space="preserve">udział społeczeństwa</w:t>
      </w:r>
      <w:r w:rsidDel="00000000" w:rsidR="00000000" w:rsidRPr="00000000">
        <w:rPr>
          <w:rFonts w:ascii="Google Sans Text" w:cs="Google Sans Text" w:eastAsia="Google Sans Text" w:hAnsi="Google Sans Text"/>
          <w:color w:val="1b1c1d"/>
          <w:rtl w:val="0"/>
        </w:rPr>
        <w:t xml:space="preserve"> (informowanie o wszczęciu postępowania, możliwości składania uwag i wniosków, publiczna rozprawa administracyjna przy OOŚ). Aktywny udział organizacji ekologicznych lub protesty mieszkańców mogą wpłynąć na ostateczny kształt decyzji lub znacząco wydłużyć postępowanie (odwołania).</w:t>
      </w:r>
    </w:p>
    <w:p w:rsidR="00000000" w:rsidDel="00000000" w:rsidP="00000000" w:rsidRDefault="00000000" w:rsidRPr="00000000" w14:paraId="00000015">
      <w:pPr>
        <w:numPr>
          <w:ilvl w:val="1"/>
          <w:numId w:val="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Organ prowadzący (najczęściej wójt/burmistrz/prezydent) zasięga opinii RDOŚ, Sanepidu i Wód Polskich (oraz ew. innych organów). Decyzja określa warunki realizacji i eksploatacji (np. monitoring hałasu, jakości powietrza, środki minimalizujące), które są wiążące dla kolejnych decyzji (WZ, PnB).</w:t>
      </w:r>
    </w:p>
    <w:p w:rsidR="00000000" w:rsidDel="00000000" w:rsidP="00000000" w:rsidRDefault="00000000" w:rsidRPr="00000000" w14:paraId="00000016">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Uzyskanie Decyzji o Warunkach Zabudowy (WZ) lub Stwierdzenie Zgodności z Miejscowym Planem Zagospodarowania Przestrzennego (MPZP):</w:t>
      </w:r>
    </w:p>
    <w:p w:rsidR="00000000" w:rsidDel="00000000" w:rsidP="00000000" w:rsidRDefault="00000000" w:rsidRPr="00000000" w14:paraId="00000017">
      <w:pPr>
        <w:numPr>
          <w:ilvl w:val="1"/>
          <w:numId w:val="9"/>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pPr>
      <w:r w:rsidDel="00000000" w:rsidR="00000000" w:rsidRPr="00000000">
        <w:rPr>
          <w:rFonts w:ascii="Google Sans Text" w:cs="Google Sans Text" w:eastAsia="Google Sans Text" w:hAnsi="Google Sans Text"/>
          <w:b w:val="1"/>
          <w:color w:val="1b1c1d"/>
          <w:rtl w:val="0"/>
        </w:rPr>
        <w:t xml:space="preserve">MPZP:</w:t>
      </w:r>
      <w:r w:rsidDel="00000000" w:rsidR="00000000" w:rsidRPr="00000000">
        <w:rPr>
          <w:rFonts w:ascii="Google Sans Text" w:cs="Google Sans Text" w:eastAsia="Google Sans Text" w:hAnsi="Google Sans Text"/>
          <w:color w:val="1b1c1d"/>
          <w:rtl w:val="0"/>
        </w:rPr>
        <w:t xml:space="preserve"> Sytuacja preferowana - daje większą pewność prawną. Należy sprawdzić zgodność projektu z ustaleniami planu (przeznaczenie terenu, linie zabudowy, wysokość, wskaźniki itp.). </w:t>
      </w:r>
      <w:r w:rsidDel="00000000" w:rsidR="00000000" w:rsidRPr="00000000">
        <w:rPr>
          <w:rFonts w:ascii="Google Sans Text" w:cs="Google Sans Text" w:eastAsia="Google Sans Text" w:hAnsi="Google Sans Text"/>
          <w:b w:val="1"/>
          <w:color w:val="1b1c1d"/>
          <w:rtl w:val="0"/>
        </w:rPr>
        <w:t xml:space="preserve">Ustawa o ułatwieniach</w:t>
      </w:r>
      <w:r w:rsidDel="00000000" w:rsidR="00000000" w:rsidRPr="00000000">
        <w:rPr>
          <w:rFonts w:ascii="Google Sans Text" w:cs="Google Sans Text" w:eastAsia="Google Sans Text" w:hAnsi="Google Sans Text"/>
          <w:color w:val="1b1c1d"/>
          <w:rtl w:val="0"/>
        </w:rPr>
        <w:t xml:space="preserve"> wprowadza </w:t>
      </w:r>
      <w:r w:rsidDel="00000000" w:rsidR="00000000" w:rsidRPr="00000000">
        <w:rPr>
          <w:rFonts w:ascii="Google Sans Text" w:cs="Google Sans Text" w:eastAsia="Google Sans Text" w:hAnsi="Google Sans Text"/>
          <w:b w:val="1"/>
          <w:color w:val="1b1c1d"/>
          <w:rtl w:val="0"/>
        </w:rPr>
        <w:t xml:space="preserve">domniemanie zgodności</w:t>
      </w:r>
      <w:r w:rsidDel="00000000" w:rsidR="00000000" w:rsidRPr="00000000">
        <w:rPr>
          <w:rFonts w:ascii="Google Sans Text" w:cs="Google Sans Text" w:eastAsia="Google Sans Text" w:hAnsi="Google Sans Text"/>
          <w:color w:val="1b1c1d"/>
          <w:rtl w:val="0"/>
        </w:rPr>
        <w:t xml:space="preserve"> dla biogazowni rolniczych (spełniających warunki art. 4) na terenach rolnych, produkcyjnych lub magazynowych, o ile plan </w:t>
      </w:r>
      <w:r w:rsidDel="00000000" w:rsidR="00000000" w:rsidRPr="00000000">
        <w:rPr>
          <w:rFonts w:ascii="Google Sans Text" w:cs="Google Sans Text" w:eastAsia="Google Sans Text" w:hAnsi="Google Sans Text"/>
          <w:b w:val="1"/>
          <w:color w:val="1b1c1d"/>
          <w:rtl w:val="0"/>
        </w:rPr>
        <w:t xml:space="preserve">wyraźnie tego nie zakazuje</w:t>
      </w:r>
      <w:r w:rsidDel="00000000" w:rsidR="00000000" w:rsidRPr="00000000">
        <w:rPr>
          <w:rFonts w:ascii="Google Sans Text" w:cs="Google Sans Text" w:eastAsia="Google Sans Text" w:hAnsi="Google Sans Text"/>
          <w:color w:val="1b1c1d"/>
          <w:rtl w:val="0"/>
        </w:rPr>
        <w:t xml:space="preserve"> (Art. 6 ust. 1). Należy jednak dokładnie sprawdzić definicje i ograniczenia w danym MPZP. Ułatwienie dotyczy biogazowni o mniejszej skali i realizowanych przez określone podmioty (Art. 6 ust. 3).</w:t>
      </w:r>
    </w:p>
    <w:p w:rsidR="00000000" w:rsidDel="00000000" w:rsidP="00000000" w:rsidRDefault="00000000" w:rsidRPr="00000000" w14:paraId="00000018">
      <w:pPr>
        <w:numPr>
          <w:ilvl w:val="1"/>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b w:val="1"/>
          <w:color w:val="1b1c1d"/>
          <w:rtl w:val="0"/>
        </w:rPr>
        <w:t xml:space="preserve">WZ:</w:t>
      </w:r>
      <w:r w:rsidDel="00000000" w:rsidR="00000000" w:rsidRPr="00000000">
        <w:rPr>
          <w:rFonts w:ascii="Google Sans Text" w:cs="Google Sans Text" w:eastAsia="Google Sans Text" w:hAnsi="Google Sans Text"/>
          <w:color w:val="1b1c1d"/>
          <w:rtl w:val="0"/>
        </w:rPr>
        <w:t xml:space="preserve"> Konieczna przy braku MPZP. Wymaga wykazania spełnienia warunków (m.in. zasady </w:t>
      </w:r>
      <w:r w:rsidDel="00000000" w:rsidR="00000000" w:rsidRPr="00000000">
        <w:rPr>
          <w:rFonts w:ascii="Google Sans Text" w:cs="Google Sans Text" w:eastAsia="Google Sans Text" w:hAnsi="Google Sans Text"/>
          <w:b w:val="1"/>
          <w:color w:val="1b1c1d"/>
          <w:rtl w:val="0"/>
        </w:rPr>
        <w:t xml:space="preserve">"dobrego sąsiedztwa"</w:t>
      </w:r>
      <w:r w:rsidDel="00000000" w:rsidR="00000000" w:rsidRPr="00000000">
        <w:rPr>
          <w:rFonts w:ascii="Google Sans Text" w:cs="Google Sans Text" w:eastAsia="Google Sans Text" w:hAnsi="Google Sans Text"/>
          <w:color w:val="1b1c1d"/>
          <w:rtl w:val="0"/>
        </w:rPr>
        <w:t xml:space="preserve"> - co najmniej jedna działka sąsiednia dostępna z tej samej drogi publicznej musi być zabudowana w sposób pozwalający na określenie wymagań dla nowej zabudowy; dostęp do drogi publicznej; uzbrojenie terenu wystarczające dla inwestycji; zgodność z przepisami odrębnymi). Procedura bywa niepewna, czasochłonna i podatna na protesty sąsiadów. Ustawa o ułatwieniach </w:t>
      </w:r>
      <w:r w:rsidDel="00000000" w:rsidR="00000000" w:rsidRPr="00000000">
        <w:rPr>
          <w:rFonts w:ascii="Google Sans Text" w:cs="Google Sans Text" w:eastAsia="Google Sans Text" w:hAnsi="Google Sans Text"/>
          <w:b w:val="1"/>
          <w:color w:val="1b1c1d"/>
          <w:rtl w:val="0"/>
        </w:rPr>
        <w:t xml:space="preserve">skraca termin</w:t>
      </w:r>
      <w:r w:rsidDel="00000000" w:rsidR="00000000" w:rsidRPr="00000000">
        <w:rPr>
          <w:rFonts w:ascii="Google Sans Text" w:cs="Google Sans Text" w:eastAsia="Google Sans Text" w:hAnsi="Google Sans Text"/>
          <w:color w:val="1b1c1d"/>
          <w:rtl w:val="0"/>
        </w:rPr>
        <w:t xml:space="preserve"> wydania WZ (do 65 dni dla mniejszych instalacji - Art. 13 pkt 1 lit. a, nowelizujący art. 64 ust. 1 pkt 1 ustawy o planowaniu przestrzennym) i </w:t>
      </w:r>
      <w:r w:rsidDel="00000000" w:rsidR="00000000" w:rsidRPr="00000000">
        <w:rPr>
          <w:rFonts w:ascii="Google Sans Text" w:cs="Google Sans Text" w:eastAsia="Google Sans Text" w:hAnsi="Google Sans Text"/>
          <w:b w:val="1"/>
          <w:color w:val="1b1c1d"/>
          <w:rtl w:val="0"/>
        </w:rPr>
        <w:t xml:space="preserve">ogranicza krąg stron</w:t>
      </w:r>
      <w:r w:rsidDel="00000000" w:rsidR="00000000" w:rsidRPr="00000000">
        <w:rPr>
          <w:rFonts w:ascii="Google Sans Text" w:cs="Google Sans Text" w:eastAsia="Google Sans Text" w:hAnsi="Google Sans Text"/>
          <w:color w:val="1b1c1d"/>
          <w:rtl w:val="0"/>
        </w:rPr>
        <w:t xml:space="preserve"> (do właścicieli i użytkowników wieczystych nieruchomości w obszarze oddziaływania - Art. 13 pkt 2, dodany art. 64aa ust. 1), co ma na celu przyspieszenie, ale nie eliminuje ryzyka odmowy lub odwołań.</w:t>
      </w:r>
    </w:p>
    <w:p w:rsidR="00000000" w:rsidDel="00000000" w:rsidP="00000000" w:rsidRDefault="00000000" w:rsidRPr="00000000" w14:paraId="00000019">
      <w:pPr>
        <w:numPr>
          <w:ilvl w:val="1"/>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b w:val="1"/>
          <w:color w:val="1b1c1d"/>
          <w:rtl w:val="0"/>
        </w:rPr>
        <w:t xml:space="preserve">Lokalizacja tymczasowa (Ustawa o ułatwieniach):</w:t>
      </w:r>
      <w:r w:rsidDel="00000000" w:rsidR="00000000" w:rsidRPr="00000000">
        <w:rPr>
          <w:rFonts w:ascii="Google Sans Text" w:cs="Google Sans Text" w:eastAsia="Google Sans Text" w:hAnsi="Google Sans Text"/>
          <w:color w:val="1b1c1d"/>
          <w:rtl w:val="0"/>
        </w:rPr>
        <w:t xml:space="preserve"> Dla większych biogazowni rolniczych (przekraczających progi z art. 6 ust. 3 lub art. 23), ustawa przewiduje do 31.12.2025 r. </w:t>
      </w:r>
      <w:r w:rsidDel="00000000" w:rsidR="00000000" w:rsidRPr="00000000">
        <w:rPr>
          <w:rFonts w:ascii="Google Sans Text" w:cs="Google Sans Text" w:eastAsia="Google Sans Text" w:hAnsi="Google Sans Text"/>
          <w:b w:val="1"/>
          <w:color w:val="1b1c1d"/>
          <w:rtl w:val="0"/>
        </w:rPr>
        <w:t xml:space="preserve">specjalną procedurę ustalenia lokalizacji uchwałą rady gminy</w:t>
      </w:r>
      <w:r w:rsidDel="00000000" w:rsidR="00000000" w:rsidRPr="00000000">
        <w:rPr>
          <w:rFonts w:ascii="Google Sans Text" w:cs="Google Sans Text" w:eastAsia="Google Sans Text" w:hAnsi="Google Sans Text"/>
          <w:color w:val="1b1c1d"/>
          <w:rtl w:val="0"/>
        </w:rPr>
        <w:t xml:space="preserve"> (Art. 19-22), niezależnie od MPZP (pod warunkiem niesprzeczności ze studium - Art. 19 ust. 4, ust. 5). Procedura wymaga wniosku inwestora za pośrednictwem wójta (Art. 20 ust. 1), zawierającego m.in. mapy, parametry instalacji, analizę uzbrojenia, charakterystykę, oraz opinii (np. komisji urbanistycznej, RDOŚ, Sanepidu - Art. 20 ust. 12) i uzgodnień (np. z konserwatorem zabytków, zarządcą drogi - Art. 20 ust. 14). Rada gminy ma 60 dni (z możliwością przedłużenia o 30) na podjęcie uchwały. Uchwała wiąże organ PnB (Art. 22 ust. 1), ale wygasa po 3 latach, jeśli PnB nie stanie się ostateczne (Art. 21 ust. 3). Jest to rozwiązanie tymczasowe i potencjalnie kontrowersyjne z punktu widzenia ładu przestrzennego.</w:t>
      </w:r>
    </w:p>
    <w:p w:rsidR="00000000" w:rsidDel="00000000" w:rsidP="00000000" w:rsidRDefault="00000000" w:rsidRPr="00000000" w14:paraId="0000001A">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Uzyskanie Warunków Przyłączenia do Sieci:</w:t>
      </w:r>
      <w:r w:rsidDel="00000000" w:rsidR="00000000" w:rsidRPr="00000000">
        <w:rPr>
          <w:rFonts w:ascii="Google Sans Text" w:cs="Google Sans Text" w:eastAsia="Google Sans Text" w:hAnsi="Google Sans Text"/>
          <w:color w:val="1b1c1d"/>
          <w:rtl w:val="0"/>
        </w:rPr>
        <w:t xml:space="preserve"> Kluczowy element dla rentowności. Należy złożyć wniosek do OSD (lub OSG). Wydane warunki określają techniczne i ekonomiczne aspekty przyłączenia (miejsce, zakres prac, koszty, terminy). </w:t>
      </w:r>
      <w:r w:rsidDel="00000000" w:rsidR="00000000" w:rsidRPr="00000000">
        <w:rPr>
          <w:rFonts w:ascii="Google Sans Text" w:cs="Google Sans Text" w:eastAsia="Google Sans Text" w:hAnsi="Google Sans Text"/>
          <w:b w:val="1"/>
          <w:color w:val="1b1c1d"/>
          <w:rtl w:val="0"/>
        </w:rPr>
        <w:t xml:space="preserve">Brak wystarczającej mocy przyłączeniowej</w:t>
      </w:r>
      <w:r w:rsidDel="00000000" w:rsidR="00000000" w:rsidRPr="00000000">
        <w:rPr>
          <w:rFonts w:ascii="Google Sans Text" w:cs="Google Sans Text" w:eastAsia="Google Sans Text" w:hAnsi="Google Sans Text"/>
          <w:color w:val="1b1c1d"/>
          <w:rtl w:val="0"/>
        </w:rPr>
        <w:t xml:space="preserve"> w sieci elektroenergetycznej lub wysokie koszty rozbudowy sieci są częstymi barierami. Ustawa o ułatwieniach </w:t>
      </w:r>
      <w:r w:rsidDel="00000000" w:rsidR="00000000" w:rsidRPr="00000000">
        <w:rPr>
          <w:rFonts w:ascii="Google Sans Text" w:cs="Google Sans Text" w:eastAsia="Google Sans Text" w:hAnsi="Google Sans Text"/>
          <w:b w:val="1"/>
          <w:color w:val="1b1c1d"/>
          <w:rtl w:val="0"/>
        </w:rPr>
        <w:t xml:space="preserve">skraca termin</w:t>
      </w:r>
      <w:r w:rsidDel="00000000" w:rsidR="00000000" w:rsidRPr="00000000">
        <w:rPr>
          <w:rFonts w:ascii="Google Sans Text" w:cs="Google Sans Text" w:eastAsia="Google Sans Text" w:hAnsi="Google Sans Text"/>
          <w:color w:val="1b1c1d"/>
          <w:rtl w:val="0"/>
        </w:rPr>
        <w:t xml:space="preserve"> dla OSD do </w:t>
      </w:r>
      <w:r w:rsidDel="00000000" w:rsidR="00000000" w:rsidRPr="00000000">
        <w:rPr>
          <w:rFonts w:ascii="Google Sans Text" w:cs="Google Sans Text" w:eastAsia="Google Sans Text" w:hAnsi="Google Sans Text"/>
          <w:b w:val="1"/>
          <w:color w:val="1b1c1d"/>
          <w:rtl w:val="0"/>
        </w:rPr>
        <w:t xml:space="preserve">90 dni</w:t>
      </w:r>
      <w:r w:rsidDel="00000000" w:rsidR="00000000" w:rsidRPr="00000000">
        <w:rPr>
          <w:rFonts w:ascii="Google Sans Text" w:cs="Google Sans Text" w:eastAsia="Google Sans Text" w:hAnsi="Google Sans Text"/>
          <w:color w:val="1b1c1d"/>
          <w:rtl w:val="0"/>
        </w:rPr>
        <w:t xml:space="preserve"> dla biogazowni do 2 MWe (Art. 11 pkt 1 lit. a, nowelizujący art. 7 ust. 8g Prawa energetycznego).</w:t>
      </w:r>
    </w:p>
    <w:p w:rsidR="00000000" w:rsidDel="00000000" w:rsidP="00000000" w:rsidRDefault="00000000" w:rsidRPr="00000000" w14:paraId="0000001B">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Projekt Budowlany i Uzyskanie Pozwolenia na Budowę (PnB):</w:t>
      </w:r>
    </w:p>
    <w:p w:rsidR="00000000" w:rsidDel="00000000" w:rsidP="00000000" w:rsidRDefault="00000000" w:rsidRPr="00000000" w14:paraId="0000001C">
      <w:pPr>
        <w:numPr>
          <w:ilvl w:val="1"/>
          <w:numId w:val="10"/>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Na podstawie DUŚ, WZ/MPZP i warunków przyłączenia sporządzany jest </w:t>
      </w:r>
      <w:r w:rsidDel="00000000" w:rsidR="00000000" w:rsidRPr="00000000">
        <w:rPr>
          <w:rFonts w:ascii="Google Sans Text" w:cs="Google Sans Text" w:eastAsia="Google Sans Text" w:hAnsi="Google Sans Text"/>
          <w:b w:val="1"/>
          <w:color w:val="1b1c1d"/>
          <w:rtl w:val="0"/>
        </w:rPr>
        <w:t xml:space="preserve">kompletny projekt budowlany</w:t>
      </w:r>
      <w:r w:rsidDel="00000000" w:rsidR="00000000" w:rsidRPr="00000000">
        <w:rPr>
          <w:rFonts w:ascii="Google Sans Text" w:cs="Google Sans Text" w:eastAsia="Google Sans Text" w:hAnsi="Google Sans Text"/>
          <w:color w:val="1b1c1d"/>
          <w:rtl w:val="0"/>
        </w:rPr>
        <w:t xml:space="preserve">. Musi on być zgodny z przepisami (Prawo budowlane, warunki techniczne, ppoż., sanitarne itp.) i zawierać wymagane uzgodnienia (np. projektanta sieci, rzeczoznawców). Projekt składa się z projektu zagospodarowania działki, projektu architektoniczno-budowlanego oraz projektu technicznego.</w:t>
      </w:r>
    </w:p>
    <w:p w:rsidR="00000000" w:rsidDel="00000000" w:rsidP="00000000" w:rsidRDefault="00000000" w:rsidRPr="00000000" w14:paraId="0000001D">
      <w:pPr>
        <w:numPr>
          <w:ilvl w:val="1"/>
          <w:numId w:val="1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Projekt podlega zatwierdzeniu w drodze decyzji PnB wydawanej przez starostę. Ustawa o ułatwieniach skraca termin na rozpatrzenie wniosku o PnB dla biogazowni rolniczych (spełniających warunki art. 4 ust. 1) do </w:t>
      </w:r>
      <w:r w:rsidDel="00000000" w:rsidR="00000000" w:rsidRPr="00000000">
        <w:rPr>
          <w:rFonts w:ascii="Google Sans Text" w:cs="Google Sans Text" w:eastAsia="Google Sans Text" w:hAnsi="Google Sans Text"/>
          <w:b w:val="1"/>
          <w:color w:val="1b1c1d"/>
          <w:rtl w:val="0"/>
        </w:rPr>
        <w:t xml:space="preserve">65 dni</w:t>
      </w:r>
      <w:r w:rsidDel="00000000" w:rsidR="00000000" w:rsidRPr="00000000">
        <w:rPr>
          <w:rFonts w:ascii="Google Sans Text" w:cs="Google Sans Text" w:eastAsia="Google Sans Text" w:hAnsi="Google Sans Text"/>
          <w:color w:val="1b1c1d"/>
          <w:rtl w:val="0"/>
        </w:rPr>
        <w:t xml:space="preserve"> (Art. 9, nowelizujący art. 35 ust. 6 pkt 2 Prawa budowlanego).</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3. Faza Realizacji:</w:t>
      </w:r>
    </w:p>
    <w:p w:rsidR="00000000" w:rsidDel="00000000" w:rsidP="00000000" w:rsidRDefault="00000000" w:rsidRPr="00000000" w14:paraId="0000001F">
      <w:pPr>
        <w:numPr>
          <w:ilvl w:val="0"/>
          <w:numId w:val="1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Budowa instalacji:</w:t>
      </w:r>
      <w:r w:rsidDel="00000000" w:rsidR="00000000" w:rsidRPr="00000000">
        <w:rPr>
          <w:rFonts w:ascii="Google Sans Text" w:cs="Google Sans Text" w:eastAsia="Google Sans Text" w:hAnsi="Google Sans Text"/>
          <w:color w:val="1b1c1d"/>
          <w:rtl w:val="0"/>
        </w:rPr>
        <w:t xml:space="preserve"> Realizacja robót zgodnie z PnB. Ważny jest wybór wykonawcy (np. przetarg, referencje) i precyzyjna umowa (np. EPC - "projektuj i buduj" lub "pod klucz" vs system zleceń cząstkowych). Konieczny nadzór inwestorski i autorski, prowadzenie dziennika budowy. Wyzwania: pogoda, koordynacja wielu branż, dostępność materiałów, nieprzewidziane warunki gruntowe, bezpieczeństwo na budowie.</w:t>
      </w:r>
    </w:p>
    <w:p w:rsidR="00000000" w:rsidDel="00000000" w:rsidP="00000000" w:rsidRDefault="00000000" w:rsidRPr="00000000" w14:paraId="00000020">
      <w:pPr>
        <w:numPr>
          <w:ilvl w:val="0"/>
          <w:numId w:val="1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Montaż urządzeń:</w:t>
      </w:r>
      <w:r w:rsidDel="00000000" w:rsidR="00000000" w:rsidRPr="00000000">
        <w:rPr>
          <w:rFonts w:ascii="Google Sans Text" w:cs="Google Sans Text" w:eastAsia="Google Sans Text" w:hAnsi="Google Sans Text"/>
          <w:color w:val="1b1c1d"/>
          <w:rtl w:val="0"/>
        </w:rPr>
        <w:t xml:space="preserve"> Instalacja i testy kluczowych komponentów technologicznych (fermentory, mieszadła, pompy, CHP, sterowanie itp.).</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4. Faza Rozruchu i Odbioru:</w:t>
      </w:r>
    </w:p>
    <w:p w:rsidR="00000000" w:rsidDel="00000000" w:rsidP="00000000" w:rsidRDefault="00000000" w:rsidRPr="00000000" w14:paraId="00000022">
      <w:pPr>
        <w:numPr>
          <w:ilvl w:val="0"/>
          <w:numId w:val="1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Rozruch technologiczny ("zimny"):</w:t>
      </w:r>
      <w:r w:rsidDel="00000000" w:rsidR="00000000" w:rsidRPr="00000000">
        <w:rPr>
          <w:rFonts w:ascii="Google Sans Text" w:cs="Google Sans Text" w:eastAsia="Google Sans Text" w:hAnsi="Google Sans Text"/>
          <w:color w:val="1b1c1d"/>
          <w:rtl w:val="0"/>
        </w:rPr>
        <w:t xml:space="preserve"> Testy funkcjonalne urządzeń i systemów (szczelność, działanie automatyki, pomp, mieszadeł).</w:t>
      </w:r>
    </w:p>
    <w:p w:rsidR="00000000" w:rsidDel="00000000" w:rsidP="00000000" w:rsidRDefault="00000000" w:rsidRPr="00000000" w14:paraId="00000023">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Rozruch biotechnologiczny ("ciepły"):</w:t>
      </w:r>
      <w:r w:rsidDel="00000000" w:rsidR="00000000" w:rsidRPr="00000000">
        <w:rPr>
          <w:rFonts w:ascii="Google Sans Text" w:cs="Google Sans Text" w:eastAsia="Google Sans Text" w:hAnsi="Google Sans Text"/>
          <w:color w:val="1b1c1d"/>
          <w:rtl w:val="0"/>
        </w:rPr>
        <w:t xml:space="preserve"> Stopniowe uruchamianie procesu biologicznego (zaszczepienie, podgrzewanie, powolne zwiększanie dawki substratów), monitorowanie parametrów (pH, FOS/TAC, skład gazu) do osiągnięcia stabilnej fermentacji. Wymaga wiedzy i cierpliwości, aby uniknąć zakwaszenia lub inhibicji. Ustawa o OZE (art. 2 pkt 26a) definiuje rozruch technologiczny i okres, w którym energia może być sprzedawana na specjalnych zasadach (do 90 dni od pierwszego wprowadzenia do sieci - art. 41 ust. 10).</w:t>
      </w:r>
    </w:p>
    <w:p w:rsidR="00000000" w:rsidDel="00000000" w:rsidP="00000000" w:rsidRDefault="00000000" w:rsidRPr="00000000" w14:paraId="00000024">
      <w:pPr>
        <w:numPr>
          <w:ilvl w:val="0"/>
          <w:numId w:val="1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Odbiory i uzyskanie Pozwolenia na Użytkowanie (PnU):</w:t>
      </w:r>
      <w:r w:rsidDel="00000000" w:rsidR="00000000" w:rsidRPr="00000000">
        <w:rPr>
          <w:rFonts w:ascii="Google Sans Text" w:cs="Google Sans Text" w:eastAsia="Google Sans Text" w:hAnsi="Google Sans Text"/>
          <w:color w:val="1b1c1d"/>
          <w:rtl w:val="0"/>
        </w:rPr>
        <w:t xml:space="preserve"> Odbiory techniczne (np. UDT, PSP, Sanepid), geodezyjna inwentaryzacja powykonawcza. Zgłoszenie zakończenia budowy do nadzoru budowlanego lub wniosek o PnU. Organ nadzoru budowlanego (PINB/WINB) przeprowadza obowiązkową kontrolę przed wydaniem PnU.</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5. Faza Eksploatacji:</w:t>
      </w:r>
    </w:p>
    <w:p w:rsidR="00000000" w:rsidDel="00000000" w:rsidP="00000000" w:rsidRDefault="00000000" w:rsidRPr="00000000" w14:paraId="00000026">
      <w:pPr>
        <w:numPr>
          <w:ilvl w:val="0"/>
          <w:numId w:val="1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Wpis do rejestru wytwórców URE / KOWR:</w:t>
      </w:r>
      <w:r w:rsidDel="00000000" w:rsidR="00000000" w:rsidRPr="00000000">
        <w:rPr>
          <w:rFonts w:ascii="Google Sans Text" w:cs="Google Sans Text" w:eastAsia="Google Sans Text" w:hAnsi="Google Sans Text"/>
          <w:color w:val="1b1c1d"/>
          <w:rtl w:val="0"/>
        </w:rPr>
        <w:t xml:space="preserve"> Konieczny do sprzedaży energii w systemach wsparcia. Dla biogazu rolniczego rejestr prowadzi KOWR (na podstawie art. 23 ustawy o OZE). Ustawa o ułatwieniach (Art. 17 pkt 2) wymaga wskazania we wniosku, czy podmiot realizował inwestycję zgodnie z tą ustawą. Złożenie fałszywego oświadczenia może skutkować wykreśleniem z rejestru (Art. 17 pkt 3, dodany pkt 5 w art. 30 ust. 1 ustawy o OZE).</w:t>
      </w:r>
    </w:p>
    <w:p w:rsidR="00000000" w:rsidDel="00000000" w:rsidP="00000000" w:rsidRDefault="00000000" w:rsidRPr="00000000" w14:paraId="00000027">
      <w:pPr>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Bieżące obowiązki formalno-prawne:</w:t>
      </w:r>
      <w:r w:rsidDel="00000000" w:rsidR="00000000" w:rsidRPr="00000000">
        <w:rPr>
          <w:rFonts w:ascii="Google Sans Text" w:cs="Google Sans Text" w:eastAsia="Google Sans Text" w:hAnsi="Google Sans Text"/>
          <w:color w:val="1b1c1d"/>
          <w:rtl w:val="0"/>
        </w:rPr>
        <w:t xml:space="preserve"> Ewidencja w BDO (jeśli dotyczy), raportowanie do URE/KOWR, przestrzeganie warunków pozwoleń (DUŚ, PnB, R10), monitoring środowiskowy (jeśli nałożony), przeglądy techniczne (UDT, budowlane), sprawozdawczość (GUS, KOBiZE).</w:t>
      </w:r>
    </w:p>
    <w:p w:rsidR="00000000" w:rsidDel="00000000" w:rsidP="00000000" w:rsidRDefault="00000000" w:rsidRPr="00000000" w14:paraId="00000028">
      <w:pPr>
        <w:numPr>
          <w:ilvl w:val="0"/>
          <w:numId w:val="1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Ograniczenia wynikające z Ustawy o ułatwieniach:</w:t>
      </w:r>
      <w:r w:rsidDel="00000000" w:rsidR="00000000" w:rsidRPr="00000000">
        <w:rPr>
          <w:rFonts w:ascii="Google Sans Text" w:cs="Google Sans Text" w:eastAsia="Google Sans Text" w:hAnsi="Google Sans Text"/>
          <w:color w:val="1b1c1d"/>
          <w:rtl w:val="0"/>
        </w:rPr>
        <w:t xml:space="preserve"> Art. 7 tej ustawy wprowadza </w:t>
      </w:r>
      <w:r w:rsidDel="00000000" w:rsidR="00000000" w:rsidRPr="00000000">
        <w:rPr>
          <w:rFonts w:ascii="Google Sans Text" w:cs="Google Sans Text" w:eastAsia="Google Sans Text" w:hAnsi="Google Sans Text"/>
          <w:b w:val="1"/>
          <w:color w:val="1b1c1d"/>
          <w:rtl w:val="0"/>
        </w:rPr>
        <w:t xml:space="preserve">5-letni okres</w:t>
      </w:r>
      <w:r w:rsidDel="00000000" w:rsidR="00000000" w:rsidRPr="00000000">
        <w:rPr>
          <w:rFonts w:ascii="Google Sans Text" w:cs="Google Sans Text" w:eastAsia="Google Sans Text" w:hAnsi="Google Sans Text"/>
          <w:color w:val="1b1c1d"/>
          <w:rtl w:val="0"/>
        </w:rPr>
        <w:t xml:space="preserve"> od uzyskania PnU (lub równoważnego zdarzenia), w którym podmiot uprawniony, który skorzystał z ułatwień, </w:t>
      </w:r>
      <w:r w:rsidDel="00000000" w:rsidR="00000000" w:rsidRPr="00000000">
        <w:rPr>
          <w:rFonts w:ascii="Google Sans Text" w:cs="Google Sans Text" w:eastAsia="Google Sans Text" w:hAnsi="Google Sans Text"/>
          <w:b w:val="1"/>
          <w:color w:val="1b1c1d"/>
          <w:rtl w:val="0"/>
        </w:rPr>
        <w:t xml:space="preserve">nie może zbywać</w:t>
      </w:r>
      <w:r w:rsidDel="00000000" w:rsidR="00000000" w:rsidRPr="00000000">
        <w:rPr>
          <w:rFonts w:ascii="Google Sans Text" w:cs="Google Sans Text" w:eastAsia="Google Sans Text" w:hAnsi="Google Sans Text"/>
          <w:color w:val="1b1c1d"/>
          <w:rtl w:val="0"/>
        </w:rPr>
        <w:t xml:space="preserve"> nieruchomości ani samej biogazowni (udziałów, akcji itp.) podmiotom innym niż uprawnione (wymienione w art. 3 ust. 1), ani prowadzić w niej innej działalności niż produkcja biogazu/energii/biometanu. Naruszenie tych zakazów skutkuje nieważnością czynności prawnej. Istnieją wyjątki dotyczące zabezpieczenia wierzytelności bankowych. W przypadku utraty statusu podmiotu uprawnionego, Dyrektor Generalny KOWR wyznacza termin (do 12 miesięcy, z możliwością przedłużenia o kolejne 12) na powierzenie działalności innemu podmiotowi uprawnionemu (Art. 7 ust. 3-4). Niezastosowanie się skutkuje wykreśleniem z rejestru wytwórców (Art. 7 ust. 5). Niedopełnienie obowiązku informacyjnego o utracie statusu (w ciągu 30 dni) grozi karą pieniężną 10 000 zł (Art. 7 ust. 3 pkt 1, Art. 8).</w:t>
      </w:r>
    </w:p>
    <w:p w:rsidR="00000000" w:rsidDel="00000000" w:rsidP="00000000" w:rsidRDefault="00000000" w:rsidRPr="00000000" w14:paraId="00000029">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Kluczowe Procedury i Wymogi Formalno-Prawne (Rozszerzenie)</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Decyzja o Środowiskowych Uwarunkowaniach (DUŚ):</w:t>
      </w:r>
    </w:p>
    <w:p w:rsidR="00000000" w:rsidDel="00000000" w:rsidP="00000000" w:rsidRDefault="00000000" w:rsidRPr="00000000" w14:paraId="0000002B">
      <w:pPr>
        <w:numPr>
          <w:ilvl w:val="0"/>
          <w:numId w:val="14"/>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Czas trwania:</w:t>
      </w:r>
      <w:r w:rsidDel="00000000" w:rsidR="00000000" w:rsidRPr="00000000">
        <w:rPr>
          <w:rFonts w:ascii="Google Sans Text" w:cs="Google Sans Text" w:eastAsia="Google Sans Text" w:hAnsi="Google Sans Text"/>
          <w:color w:val="1b1c1d"/>
          <w:rtl w:val="0"/>
        </w:rPr>
        <w:t xml:space="preserve"> Realistycznie 6-18 miesięcy (czasem dłużej), w zależności od procedury (KIP/OOŚ), jakości dokumentacji, liczby organów opiniujących i ewentualnych odwołań. Terminy ustawowe są często przekraczane.</w:t>
      </w:r>
    </w:p>
    <w:p w:rsidR="00000000" w:rsidDel="00000000" w:rsidP="00000000" w:rsidRDefault="00000000" w:rsidRPr="00000000" w14:paraId="0000002C">
      <w:pPr>
        <w:numPr>
          <w:ilvl w:val="0"/>
          <w:numId w:val="1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Odwołania:</w:t>
      </w:r>
      <w:r w:rsidDel="00000000" w:rsidR="00000000" w:rsidRPr="00000000">
        <w:rPr>
          <w:rFonts w:ascii="Google Sans Text" w:cs="Google Sans Text" w:eastAsia="Google Sans Text" w:hAnsi="Google Sans Text"/>
          <w:color w:val="1b1c1d"/>
          <w:rtl w:val="0"/>
        </w:rPr>
        <w:t xml:space="preserve"> Decyzja DUŚ jest często przedmiotem odwołań (do SKO, a potem skarg do WSA/NSA) ze strony organizacji ekologicznych lub społeczności lokalnych. Może to wstrzymać inwestycję na lata. Dlatego tak ważna jest rzetelna dokumentacja (zwłaszcza analizy oddziaływań, w tym odorów) i transparentny dialog społeczny na wczesnym etapie.</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Pozwolenie na Budowę (PnB):</w:t>
      </w:r>
    </w:p>
    <w:p w:rsidR="00000000" w:rsidDel="00000000" w:rsidP="00000000" w:rsidRDefault="00000000" w:rsidRPr="00000000" w14:paraId="0000002E">
      <w:pPr>
        <w:numPr>
          <w:ilvl w:val="0"/>
          <w:numId w:val="15"/>
        </w:numPr>
        <w:pBdr>
          <w:top w:space="0" w:sz="0" w:val="nil"/>
          <w:left w:space="0" w:sz="0" w:val="nil"/>
          <w:bottom w:space="0" w:sz="0" w:val="nil"/>
          <w:right w:space="0" w:sz="0" w:val="nil"/>
          <w:between w:space="0" w:sz="0" w:val="nil"/>
        </w:pBdr>
        <w:shd w:fill="auto" w:val="clear"/>
        <w:spacing w:after="12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Nadzór Budowlany:</w:t>
      </w:r>
      <w:r w:rsidDel="00000000" w:rsidR="00000000" w:rsidRPr="00000000">
        <w:rPr>
          <w:rFonts w:ascii="Google Sans Text" w:cs="Google Sans Text" w:eastAsia="Google Sans Text" w:hAnsi="Google Sans Text"/>
          <w:color w:val="1b1c1d"/>
          <w:rtl w:val="0"/>
        </w:rPr>
        <w:t xml:space="preserve"> Realizacja inwestycji podlega kontroli organów nadzoru budowlanego (PINB/WINB). Inwestor ma obowiązek ustanowienia kierownika budowy i (zazwyczaj) inspektora nadzoru inwestorskiego.</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Gospodarka Odpadami i Produktami Ubocznymi:</w:t>
      </w:r>
    </w:p>
    <w:p w:rsidR="00000000" w:rsidDel="00000000" w:rsidP="00000000" w:rsidRDefault="00000000" w:rsidRPr="00000000" w14:paraId="00000030">
      <w:pPr>
        <w:numPr>
          <w:ilvl w:val="0"/>
          <w:numId w:val="16"/>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BDO - dlaczego to ważne?</w:t>
      </w:r>
      <w:r w:rsidDel="00000000" w:rsidR="00000000" w:rsidRPr="00000000">
        <w:rPr>
          <w:rFonts w:ascii="Google Sans Text" w:cs="Google Sans Text" w:eastAsia="Google Sans Text" w:hAnsi="Google Sans Text"/>
          <w:color w:val="1b1c1d"/>
          <w:rtl w:val="0"/>
        </w:rPr>
        <w:t xml:space="preserve"> Rejestracja i ewidencja w BDO to obowiązek. Brak rejestracji lub błędna ewidencja grożą karami (nawet do 1 mln zł). System BDO jest elektroniczny i wymaga regularnego wprowadzania danych (Karty Przekazania Odpadów - KPO, Karty Ewidencji Odpadów - KEO) oraz składania rocznych sprawozdań.</w:t>
      </w:r>
    </w:p>
    <w:p w:rsidR="00000000" w:rsidDel="00000000" w:rsidP="00000000" w:rsidRDefault="00000000" w:rsidRPr="00000000" w14:paraId="00000031">
      <w:pPr>
        <w:numPr>
          <w:ilvl w:val="0"/>
          <w:numId w:val="1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Porównanie ścieżek dla pofermentu:</w:t>
      </w:r>
    </w:p>
    <w:p w:rsidR="00000000" w:rsidDel="00000000" w:rsidP="00000000" w:rsidRDefault="00000000" w:rsidRPr="00000000" w14:paraId="00000032">
      <w:pPr>
        <w:numPr>
          <w:ilvl w:val="1"/>
          <w:numId w:val="17"/>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pPr>
      <w:r w:rsidDel="00000000" w:rsidR="00000000" w:rsidRPr="00000000">
        <w:rPr>
          <w:rFonts w:ascii="Google Sans Text" w:cs="Google Sans Text" w:eastAsia="Google Sans Text" w:hAnsi="Google Sans Text"/>
          <w:b w:val="1"/>
          <w:color w:val="1b1c1d"/>
          <w:rtl w:val="0"/>
        </w:rPr>
        <w:t xml:space="preserve">R10 (Odpad):</w:t>
      </w:r>
      <w:r w:rsidDel="00000000" w:rsidR="00000000" w:rsidRPr="00000000">
        <w:rPr>
          <w:rFonts w:ascii="Google Sans Text" w:cs="Google Sans Text" w:eastAsia="Google Sans Text" w:hAnsi="Google Sans Text"/>
          <w:color w:val="1b1c1d"/>
          <w:rtl w:val="0"/>
        </w:rPr>
        <w:t xml:space="preserve"> Wymaga zezwolenia (starosta/marszałek). Procedura opisana w Ustawie o odpadach. Wymaga reżimu odpadowego (BDO, KPO), badań i spełnienia warunków rozporządzenia R10. Warunki te obejmują m.in. limity metali ciężkich w glebie i pofermencie (jeśli stosowano odpady inne niż biomasa rolnicza/leśna lub UPPZ), spełnienie wymogów sanitarnych (Rozporządzenie 1069/2009) oraz przestrzeganie zasad stosowania nawozów. Obowiązki dotyczą wytwórcy i stosującego (rolnika).</w:t>
      </w:r>
    </w:p>
    <w:p w:rsidR="00000000" w:rsidDel="00000000" w:rsidP="00000000" w:rsidRDefault="00000000" w:rsidRPr="00000000" w14:paraId="00000033">
      <w:pPr>
        <w:numPr>
          <w:ilvl w:val="1"/>
          <w:numId w:val="1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b w:val="1"/>
          <w:color w:val="1b1c1d"/>
          <w:rtl w:val="0"/>
        </w:rPr>
        <w:t xml:space="preserve">Produkt uboczny:</w:t>
      </w:r>
      <w:r w:rsidDel="00000000" w:rsidR="00000000" w:rsidRPr="00000000">
        <w:rPr>
          <w:rFonts w:ascii="Google Sans Text" w:cs="Google Sans Text" w:eastAsia="Google Sans Text" w:hAnsi="Google Sans Text"/>
          <w:color w:val="1b1c1d"/>
          <w:rtl w:val="0"/>
        </w:rPr>
        <w:t xml:space="preserve"> Wymaga zgłoszenia do marszałka i braku sprzeciwu (po opinii WIOŚ). Muszą być spełnione </w:t>
      </w:r>
      <w:r w:rsidDel="00000000" w:rsidR="00000000" w:rsidRPr="00000000">
        <w:rPr>
          <w:rFonts w:ascii="Google Sans Text" w:cs="Google Sans Text" w:eastAsia="Google Sans Text" w:hAnsi="Google Sans Text"/>
          <w:b w:val="1"/>
          <w:color w:val="1b1c1d"/>
          <w:rtl w:val="0"/>
        </w:rPr>
        <w:t xml:space="preserve">wszystkie</w:t>
      </w:r>
      <w:r w:rsidDel="00000000" w:rsidR="00000000" w:rsidRPr="00000000">
        <w:rPr>
          <w:rFonts w:ascii="Google Sans Text" w:cs="Google Sans Text" w:eastAsia="Google Sans Text" w:hAnsi="Google Sans Text"/>
          <w:color w:val="1b1c1d"/>
          <w:rtl w:val="0"/>
        </w:rPr>
        <w:t xml:space="preserve"> warunki art. 10 UoO. Upraszcza logistykę, ale status może być niepewny. Marszałek określa masę produktu rocznie – przekroczenie oznacza status odpadu dla nadwyżki.</w:t>
      </w:r>
    </w:p>
    <w:p w:rsidR="00000000" w:rsidDel="00000000" w:rsidP="00000000" w:rsidRDefault="00000000" w:rsidRPr="00000000" w14:paraId="00000034">
      <w:pPr>
        <w:numPr>
          <w:ilvl w:val="1"/>
          <w:numId w:val="1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b w:val="1"/>
          <w:color w:val="1b1c1d"/>
          <w:rtl w:val="0"/>
        </w:rPr>
        <w:t xml:space="preserve">Nawóz certyfikowany:</w:t>
      </w:r>
      <w:r w:rsidDel="00000000" w:rsidR="00000000" w:rsidRPr="00000000">
        <w:rPr>
          <w:rFonts w:ascii="Google Sans Text" w:cs="Google Sans Text" w:eastAsia="Google Sans Text" w:hAnsi="Google Sans Text"/>
          <w:color w:val="1b1c1d"/>
          <w:rtl w:val="0"/>
        </w:rPr>
        <w:t xml:space="preserve"> Wymaga pozwolenia MRiRW. Proces długi i kosztowny, wymaga badań i opinii wielu instytutów. Daje produkt rynkowy z instrukcją stosowania.</w:t>
      </w:r>
    </w:p>
    <w:p w:rsidR="00000000" w:rsidDel="00000000" w:rsidP="00000000" w:rsidRDefault="00000000" w:rsidRPr="00000000" w14:paraId="00000035">
      <w:pPr>
        <w:numPr>
          <w:ilvl w:val="1"/>
          <w:numId w:val="1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b w:val="1"/>
          <w:color w:val="1b1c1d"/>
          <w:rtl w:val="0"/>
        </w:rPr>
        <w:t xml:space="preserve">Produkt pofermentacyjny (nowa definicja):</w:t>
      </w:r>
      <w:r w:rsidDel="00000000" w:rsidR="00000000" w:rsidRPr="00000000">
        <w:rPr>
          <w:rFonts w:ascii="Google Sans Text" w:cs="Google Sans Text" w:eastAsia="Google Sans Text" w:hAnsi="Google Sans Text"/>
          <w:color w:val="1b1c1d"/>
          <w:rtl w:val="0"/>
        </w:rPr>
        <w:t xml:space="preserve"> Najprostsza ścieżka formalna, ale </w:t>
      </w:r>
      <w:r w:rsidDel="00000000" w:rsidR="00000000" w:rsidRPr="00000000">
        <w:rPr>
          <w:rFonts w:ascii="Google Sans Text" w:cs="Google Sans Text" w:eastAsia="Google Sans Text" w:hAnsi="Google Sans Text"/>
          <w:b w:val="1"/>
          <w:color w:val="1b1c1d"/>
          <w:rtl w:val="0"/>
        </w:rPr>
        <w:t xml:space="preserve">tylko dla biogazowni używających substratów z listy</w:t>
      </w:r>
      <w:r w:rsidDel="00000000" w:rsidR="00000000" w:rsidRPr="00000000">
        <w:rPr>
          <w:rFonts w:ascii="Google Sans Text" w:cs="Google Sans Text" w:eastAsia="Google Sans Text" w:hAnsi="Google Sans Text"/>
          <w:color w:val="1b1c1d"/>
          <w:rtl w:val="0"/>
        </w:rPr>
        <w:t xml:space="preserve"> z Rozporządzenia MRiRW z 12.10.2023. Wymaga </w:t>
      </w:r>
      <w:r w:rsidDel="00000000" w:rsidR="00000000" w:rsidRPr="00000000">
        <w:rPr>
          <w:rFonts w:ascii="Google Sans Text" w:cs="Google Sans Text" w:eastAsia="Google Sans Text" w:hAnsi="Google Sans Text"/>
          <w:b w:val="1"/>
          <w:color w:val="1b1c1d"/>
          <w:rtl w:val="0"/>
        </w:rPr>
        <w:t xml:space="preserve">informacji do PIORiN</w:t>
      </w:r>
      <w:r w:rsidDel="00000000" w:rsidR="00000000" w:rsidRPr="00000000">
        <w:rPr>
          <w:rFonts w:ascii="Google Sans Text" w:cs="Google Sans Text" w:eastAsia="Google Sans Text" w:hAnsi="Google Sans Text"/>
          <w:color w:val="1b1c1d"/>
          <w:rtl w:val="0"/>
        </w:rPr>
        <w:t xml:space="preserve"> przed pierwszym użyciem/obrotem i spełnienia wymogów (deklaracja składu, limity zanieczyszczeń dla substratów z pkt 2 listy). Kluczowe jest </w:t>
      </w:r>
      <w:r w:rsidDel="00000000" w:rsidR="00000000" w:rsidRPr="00000000">
        <w:rPr>
          <w:rFonts w:ascii="Google Sans Text" w:cs="Google Sans Text" w:eastAsia="Google Sans Text" w:hAnsi="Google Sans Text"/>
          <w:b w:val="1"/>
          <w:color w:val="1b1c1d"/>
          <w:rtl w:val="0"/>
        </w:rPr>
        <w:t xml:space="preserve">rygorystyczne przestrzeganie listy dozwolonych substratów</w:t>
      </w:r>
      <w:r w:rsidDel="00000000" w:rsidR="00000000" w:rsidRPr="00000000">
        <w:rPr>
          <w:rFonts w:ascii="Google Sans Text" w:cs="Google Sans Text" w:eastAsia="Google Sans Text" w:hAnsi="Google Sans Text"/>
          <w:color w:val="1b1c1d"/>
          <w:rtl w:val="0"/>
        </w:rPr>
        <w:t xml:space="preserve">.</w:t>
      </w:r>
    </w:p>
    <w:p w:rsidR="00000000" w:rsidDel="00000000" w:rsidP="00000000" w:rsidRDefault="00000000" w:rsidRPr="00000000" w14:paraId="00000036">
      <w:pPr>
        <w:numPr>
          <w:ilvl w:val="0"/>
          <w:numId w:val="1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Kary:</w:t>
      </w:r>
      <w:r w:rsidDel="00000000" w:rsidR="00000000" w:rsidRPr="00000000">
        <w:rPr>
          <w:rFonts w:ascii="Google Sans Text" w:cs="Google Sans Text" w:eastAsia="Google Sans Text" w:hAnsi="Google Sans Text"/>
          <w:color w:val="1b1c1d"/>
          <w:rtl w:val="0"/>
        </w:rPr>
        <w:t xml:space="preserve"> WIOŚ może nałożyć wysokie kary. Ustawa o nawozach (znowelizowana Ustawą o ułatwieniach) przewiduje kary za wprowadzanie do obrotu produktów pofermentacyjnych niespełniających wymagań (Art. 37, 37a).</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Nadzór Weterynaryjny i HACCP:</w:t>
      </w:r>
    </w:p>
    <w:p w:rsidR="00000000" w:rsidDel="00000000" w:rsidP="00000000" w:rsidRDefault="00000000" w:rsidRPr="00000000" w14:paraId="00000038">
      <w:pPr>
        <w:numPr>
          <w:ilvl w:val="0"/>
          <w:numId w:val="18"/>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Rozporządzenie 1069/2009:</w:t>
      </w:r>
      <w:r w:rsidDel="00000000" w:rsidR="00000000" w:rsidRPr="00000000">
        <w:rPr>
          <w:rFonts w:ascii="Google Sans Text" w:cs="Google Sans Text" w:eastAsia="Google Sans Text" w:hAnsi="Google Sans Text"/>
          <w:color w:val="1b1c1d"/>
          <w:rtl w:val="0"/>
        </w:rPr>
        <w:t xml:space="preserve"> Precyzuje wymogi dla UPPZ kat. 2 i 3. Wymaga zatwierdzenia zakładu przez PLW. Konieczne wdrożenie HACCP, programu zwalczania szkodników. Niezbędne monitorowanie i dokumentowanie parametrów higienizacji.</w:t>
      </w:r>
    </w:p>
    <w:p w:rsidR="00000000" w:rsidDel="00000000" w:rsidP="00000000" w:rsidRDefault="00000000" w:rsidRPr="00000000" w14:paraId="00000039">
      <w:pPr>
        <w:numPr>
          <w:ilvl w:val="0"/>
          <w:numId w:val="18"/>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Cel HACCP:</w:t>
      </w:r>
      <w:r w:rsidDel="00000000" w:rsidR="00000000" w:rsidRPr="00000000">
        <w:rPr>
          <w:rFonts w:ascii="Google Sans Text" w:cs="Google Sans Text" w:eastAsia="Google Sans Text" w:hAnsi="Google Sans Text"/>
          <w:color w:val="1b1c1d"/>
          <w:rtl w:val="0"/>
        </w:rPr>
        <w:t xml:space="preserve"> Zapewnienie bezpieczeństwa sanitarnego.</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Rejestracja w Urzędzie Regulacji Energetyki (URE) / KOWR:</w:t>
      </w:r>
    </w:p>
    <w:p w:rsidR="00000000" w:rsidDel="00000000" w:rsidP="00000000" w:rsidRDefault="00000000" w:rsidRPr="00000000" w14:paraId="0000003B">
      <w:pPr>
        <w:numPr>
          <w:ilvl w:val="0"/>
          <w:numId w:val="19"/>
        </w:numPr>
        <w:pBdr>
          <w:top w:space="0" w:sz="0" w:val="nil"/>
          <w:left w:space="0" w:sz="0" w:val="nil"/>
          <w:bottom w:space="0" w:sz="0" w:val="nil"/>
          <w:right w:space="0" w:sz="0" w:val="nil"/>
          <w:between w:space="0" w:sz="0" w:val="nil"/>
        </w:pBdr>
        <w:shd w:fill="auto" w:val="clear"/>
        <w:spacing w:after="12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Rodzaje rejestrów:</w:t>
      </w:r>
      <w:r w:rsidDel="00000000" w:rsidR="00000000" w:rsidRPr="00000000">
        <w:rPr>
          <w:rFonts w:ascii="Google Sans Text" w:cs="Google Sans Text" w:eastAsia="Google Sans Text" w:hAnsi="Google Sans Text"/>
          <w:color w:val="1b1c1d"/>
          <w:rtl w:val="0"/>
        </w:rPr>
        <w:t xml:space="preserve"> MIOZE (do 1 MW), Rejestr Wytwórców OZE (&gt;1 MW), Rejestr wytwórców biogazu rolniczego (KOWR). Wpis jest warunkiem korzystania ze wsparcia.</w:t>
      </w:r>
    </w:p>
    <w:p w:rsidR="00000000" w:rsidDel="00000000" w:rsidP="00000000" w:rsidRDefault="00000000" w:rsidRPr="00000000" w14:paraId="0000003C">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Współpraca z Instytucjami</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Skuteczne przejście przez proces wymaga nie tylko znajomości przepisów, ale także umiejętności współpracy z urzędami:</w:t>
      </w:r>
    </w:p>
    <w:p w:rsidR="00000000" w:rsidDel="00000000" w:rsidP="00000000" w:rsidRDefault="00000000" w:rsidRPr="00000000" w14:paraId="0000003E">
      <w:pPr>
        <w:numPr>
          <w:ilvl w:val="0"/>
          <w:numId w:val="20"/>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Proaktywna komunikacja:</w:t>
      </w:r>
      <w:r w:rsidDel="00000000" w:rsidR="00000000" w:rsidRPr="00000000">
        <w:rPr>
          <w:rFonts w:ascii="Google Sans Text" w:cs="Google Sans Text" w:eastAsia="Google Sans Text" w:hAnsi="Google Sans Text"/>
          <w:color w:val="1b1c1d"/>
          <w:rtl w:val="0"/>
        </w:rPr>
        <w:t xml:space="preserve"> Wczesny kontakt, informowanie o planach, zadawanie pytań.</w:t>
      </w:r>
    </w:p>
    <w:p w:rsidR="00000000" w:rsidDel="00000000" w:rsidP="00000000" w:rsidRDefault="00000000" w:rsidRPr="00000000" w14:paraId="0000003F">
      <w:pPr>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Kompletność wniosków:</w:t>
      </w:r>
      <w:r w:rsidDel="00000000" w:rsidR="00000000" w:rsidRPr="00000000">
        <w:rPr>
          <w:rFonts w:ascii="Google Sans Text" w:cs="Google Sans Text" w:eastAsia="Google Sans Text" w:hAnsi="Google Sans Text"/>
          <w:color w:val="1b1c1d"/>
          <w:rtl w:val="0"/>
        </w:rPr>
        <w:t xml:space="preserve"> Staranna dokumentacja przyspiesza postępowanie.</w:t>
      </w:r>
    </w:p>
    <w:p w:rsidR="00000000" w:rsidDel="00000000" w:rsidP="00000000" w:rsidRDefault="00000000" w:rsidRPr="00000000" w14:paraId="00000040">
      <w:pPr>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Terminowość:</w:t>
      </w:r>
      <w:r w:rsidDel="00000000" w:rsidR="00000000" w:rsidRPr="00000000">
        <w:rPr>
          <w:rFonts w:ascii="Google Sans Text" w:cs="Google Sans Text" w:eastAsia="Google Sans Text" w:hAnsi="Google Sans Text"/>
          <w:color w:val="1b1c1d"/>
          <w:rtl w:val="0"/>
        </w:rPr>
        <w:t xml:space="preserve"> Odpowiadanie na wezwania w terminie.</w:t>
      </w:r>
    </w:p>
    <w:p w:rsidR="00000000" w:rsidDel="00000000" w:rsidP="00000000" w:rsidRDefault="00000000" w:rsidRPr="00000000" w14:paraId="00000041">
      <w:pPr>
        <w:numPr>
          <w:ilvl w:val="0"/>
          <w:numId w:val="2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Transparentność:</w:t>
      </w:r>
      <w:r w:rsidDel="00000000" w:rsidR="00000000" w:rsidRPr="00000000">
        <w:rPr>
          <w:rFonts w:ascii="Google Sans Text" w:cs="Google Sans Text" w:eastAsia="Google Sans Text" w:hAnsi="Google Sans Text"/>
          <w:color w:val="1b1c1d"/>
          <w:rtl w:val="0"/>
        </w:rPr>
        <w:t xml:space="preserve"> Otwartość na uwagi, zwłaszcza w kwestiach środowiskowych i społecznych. Gotowość do przedstawienia projektu lokalnej społeczności.</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240" w:before="120" w:line="275.9999942779541" w:lineRule="auto"/>
        <w:rPr>
          <w:rFonts w:ascii="Google Sans Text" w:cs="Google Sans Text" w:eastAsia="Google Sans Text" w:hAnsi="Google Sans Text"/>
          <w:i w:val="1"/>
          <w:color w:val="1b1c1d"/>
        </w:rPr>
      </w:pPr>
      <w:r w:rsidDel="00000000" w:rsidR="00000000" w:rsidRPr="00000000">
        <w:rPr>
          <w:rFonts w:ascii="Google Sans Text" w:cs="Google Sans Text" w:eastAsia="Google Sans Text" w:hAnsi="Google Sans Text"/>
          <w:i w:val="1"/>
          <w:color w:val="1b1c1d"/>
          <w:rtl w:val="0"/>
        </w:rPr>
        <w:t xml:space="preserve">(Koniec części wykładowej. Czas na pytania wyjaśniające.)</w:t>
      </w:r>
    </w:p>
    <w:p w:rsidR="00000000" w:rsidDel="00000000" w:rsidP="00000000" w:rsidRDefault="00000000" w:rsidRPr="00000000" w14:paraId="00000043">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Część 2: Dyskusja Moderowana</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1"/>
          <w:color w:val="1b1c1d"/>
        </w:rPr>
      </w:pPr>
      <w:r w:rsidDel="00000000" w:rsidR="00000000" w:rsidRPr="00000000">
        <w:rPr>
          <w:rFonts w:ascii="Google Sans Text" w:cs="Google Sans Text" w:eastAsia="Google Sans Text" w:hAnsi="Google Sans Text"/>
          <w:i w:val="1"/>
          <w:color w:val="1b1c1d"/>
          <w:rtl w:val="0"/>
        </w:rPr>
        <w:t xml:space="preserve">(Szacowany czas: 20 minut)</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Omówiliśmy ścieżkę formalno-prawną. Teraz porozmawiajmy o praktycznych aspektach i potencjalnych trudnościach:</w:t>
      </w:r>
    </w:p>
    <w:p w:rsidR="00000000" w:rsidDel="00000000" w:rsidP="00000000" w:rsidRDefault="00000000" w:rsidRPr="00000000" w14:paraId="00000046">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color w:val="1b1c1d"/>
          <w:rtl w:val="0"/>
        </w:rPr>
        <w:t xml:space="preserve">Który etap procesu inwestycyjnego uważacie za </w:t>
      </w:r>
      <w:r w:rsidDel="00000000" w:rsidR="00000000" w:rsidRPr="00000000">
        <w:rPr>
          <w:rFonts w:ascii="Google Sans Text" w:cs="Google Sans Text" w:eastAsia="Google Sans Text" w:hAnsi="Google Sans Text"/>
          <w:b w:val="1"/>
          <w:color w:val="1b1c1d"/>
          <w:rtl w:val="0"/>
        </w:rPr>
        <w:t xml:space="preserve">najbardziej krytyczny lub ryzykowny</w:t>
      </w:r>
      <w:r w:rsidDel="00000000" w:rsidR="00000000" w:rsidRPr="00000000">
        <w:rPr>
          <w:rFonts w:ascii="Google Sans Text" w:cs="Google Sans Text" w:eastAsia="Google Sans Text" w:hAnsi="Google Sans Text"/>
          <w:color w:val="1b1c1d"/>
          <w:rtl w:val="0"/>
        </w:rPr>
        <w:t xml:space="preserve"> z punktu widzenia uzyskania niezbędnych pozwoleń? Dlaczego? (Czy jest to DUŚ, WZ, PnB?) Czy macie doświadczenia, które to potwierdzają?</w:t>
      </w:r>
    </w:p>
    <w:p w:rsidR="00000000" w:rsidDel="00000000" w:rsidP="00000000" w:rsidRDefault="00000000" w:rsidRPr="00000000" w14:paraId="00000047">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color w:val="1b1c1d"/>
          <w:rtl w:val="0"/>
        </w:rPr>
        <w:t xml:space="preserve">Ustawa o ułatwieniach miała przyspieszyć inwestycje. Jakie konkretne ułatwienia (np. terminy, procedury WZ/MPZP) wydają się Wam najbardziej pomocne? A jakie są potencjalne </w:t>
      </w:r>
      <w:r w:rsidDel="00000000" w:rsidR="00000000" w:rsidRPr="00000000">
        <w:rPr>
          <w:rFonts w:ascii="Google Sans Text" w:cs="Google Sans Text" w:eastAsia="Google Sans Text" w:hAnsi="Google Sans Text"/>
          <w:b w:val="1"/>
          <w:color w:val="1b1c1d"/>
          <w:rtl w:val="0"/>
        </w:rPr>
        <w:t xml:space="preserve">praktyczne konsekwencje</w:t>
      </w:r>
      <w:r w:rsidDel="00000000" w:rsidR="00000000" w:rsidRPr="00000000">
        <w:rPr>
          <w:rFonts w:ascii="Google Sans Text" w:cs="Google Sans Text" w:eastAsia="Google Sans Text" w:hAnsi="Google Sans Text"/>
          <w:color w:val="1b1c1d"/>
          <w:rtl w:val="0"/>
        </w:rPr>
        <w:t xml:space="preserve"> 5-letniego zakazu zbywania instalacji lub nieruchomości (Art. 7) dla inwestora (np. w kontekście finansowania, planów sukcesji)?</w:t>
      </w:r>
    </w:p>
    <w:p w:rsidR="00000000" w:rsidDel="00000000" w:rsidP="00000000" w:rsidRDefault="00000000" w:rsidRPr="00000000" w14:paraId="00000048">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color w:val="1b1c1d"/>
          <w:rtl w:val="0"/>
        </w:rPr>
        <w:t xml:space="preserve">Zarządzanie pofermentem: porównując 4 ścieżki (R10, produkt uboczny, nawóz, produkt pofermentacyjny wg nowej definicji), która wydaje się najbardziej </w:t>
      </w:r>
      <w:r w:rsidDel="00000000" w:rsidR="00000000" w:rsidRPr="00000000">
        <w:rPr>
          <w:rFonts w:ascii="Google Sans Text" w:cs="Google Sans Text" w:eastAsia="Google Sans Text" w:hAnsi="Google Sans Text"/>
          <w:b w:val="1"/>
          <w:color w:val="1b1c1d"/>
          <w:rtl w:val="0"/>
        </w:rPr>
        <w:t xml:space="preserve">elastyczna</w:t>
      </w:r>
      <w:r w:rsidDel="00000000" w:rsidR="00000000" w:rsidRPr="00000000">
        <w:rPr>
          <w:rFonts w:ascii="Google Sans Text" w:cs="Google Sans Text" w:eastAsia="Google Sans Text" w:hAnsi="Google Sans Text"/>
          <w:color w:val="1b1c1d"/>
          <w:rtl w:val="0"/>
        </w:rPr>
        <w:t xml:space="preserve"> dla operatora biogazowni, który może chcieć zmieniać recepturę substratową w przyszłości? Dlaczego?</w:t>
      </w:r>
    </w:p>
    <w:p w:rsidR="00000000" w:rsidDel="00000000" w:rsidP="00000000" w:rsidRDefault="00000000" w:rsidRPr="00000000" w14:paraId="00000049">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color w:val="1b1c1d"/>
          <w:rtl w:val="0"/>
        </w:rPr>
        <w:t xml:space="preserve">Jakie są </w:t>
      </w:r>
      <w:r w:rsidDel="00000000" w:rsidR="00000000" w:rsidRPr="00000000">
        <w:rPr>
          <w:rFonts w:ascii="Google Sans Text" w:cs="Google Sans Text" w:eastAsia="Google Sans Text" w:hAnsi="Google Sans Text"/>
          <w:b w:val="1"/>
          <w:color w:val="1b1c1d"/>
          <w:rtl w:val="0"/>
        </w:rPr>
        <w:t xml:space="preserve">najczęstsze przyczyny odwołań</w:t>
      </w:r>
      <w:r w:rsidDel="00000000" w:rsidR="00000000" w:rsidRPr="00000000">
        <w:rPr>
          <w:rFonts w:ascii="Google Sans Text" w:cs="Google Sans Text" w:eastAsia="Google Sans Text" w:hAnsi="Google Sans Text"/>
          <w:color w:val="1b1c1d"/>
          <w:rtl w:val="0"/>
        </w:rPr>
        <w:t xml:space="preserve"> od decyzji środowiskowych (DUŚ) dla biogazowni? (np. obawy o odory, transport, bliskość zabudowy, kwestie formalne). Jak inwestor może minimalizować ryzyko skutecznego odwołania?</w:t>
      </w:r>
    </w:p>
    <w:p w:rsidR="00000000" w:rsidDel="00000000" w:rsidP="00000000" w:rsidRDefault="00000000" w:rsidRPr="00000000" w14:paraId="0000004A">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color w:val="1b1c1d"/>
          <w:rtl w:val="0"/>
        </w:rPr>
        <w:t xml:space="preserve">Rola doradztwa jest kluczowa. Jakie </w:t>
      </w:r>
      <w:r w:rsidDel="00000000" w:rsidR="00000000" w:rsidRPr="00000000">
        <w:rPr>
          <w:rFonts w:ascii="Google Sans Text" w:cs="Google Sans Text" w:eastAsia="Google Sans Text" w:hAnsi="Google Sans Text"/>
          <w:b w:val="1"/>
          <w:color w:val="1b1c1d"/>
          <w:rtl w:val="0"/>
        </w:rPr>
        <w:t xml:space="preserve">specjalizacje</w:t>
      </w:r>
      <w:r w:rsidDel="00000000" w:rsidR="00000000" w:rsidRPr="00000000">
        <w:rPr>
          <w:rFonts w:ascii="Google Sans Text" w:cs="Google Sans Text" w:eastAsia="Google Sans Text" w:hAnsi="Google Sans Text"/>
          <w:color w:val="1b1c1d"/>
          <w:rtl w:val="0"/>
        </w:rPr>
        <w:t xml:space="preserve"> doradców (prawnik, technolog, projektant, specjalista ds. środowiska) są niezbędne na poszczególnych etapach przygotowania inwestycji?</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240" w:before="120" w:line="275.9999942779541" w:lineRule="auto"/>
        <w:rPr>
          <w:rFonts w:ascii="Google Sans Text" w:cs="Google Sans Text" w:eastAsia="Google Sans Text" w:hAnsi="Google Sans Text"/>
          <w:i w:val="1"/>
          <w:color w:val="1b1c1d"/>
        </w:rPr>
      </w:pPr>
      <w:r w:rsidDel="00000000" w:rsidR="00000000" w:rsidRPr="00000000">
        <w:rPr>
          <w:rFonts w:ascii="Google Sans Text" w:cs="Google Sans Text" w:eastAsia="Google Sans Text" w:hAnsi="Google Sans Text"/>
          <w:i w:val="1"/>
          <w:color w:val="1b1c1d"/>
          <w:rtl w:val="0"/>
        </w:rPr>
        <w:t xml:space="preserve">(Prowadzenie dyskusji, zachęcanie do zadawania pytań, dzielenia się doświadczeniami, jeśli uczestnicy je posiadają.)</w:t>
      </w:r>
    </w:p>
    <w:p w:rsidR="00000000" w:rsidDel="00000000" w:rsidP="00000000" w:rsidRDefault="00000000" w:rsidRPr="00000000" w14:paraId="0000004C">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Część 3: Analiza Studium Przypadku - Fragmenty Dokumentacji</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1"/>
          <w:color w:val="1b1c1d"/>
        </w:rPr>
      </w:pPr>
      <w:r w:rsidDel="00000000" w:rsidR="00000000" w:rsidRPr="00000000">
        <w:rPr>
          <w:rFonts w:ascii="Google Sans Text" w:cs="Google Sans Text" w:eastAsia="Google Sans Text" w:hAnsi="Google Sans Text"/>
          <w:i w:val="1"/>
          <w:color w:val="1b1c1d"/>
          <w:rtl w:val="0"/>
        </w:rPr>
        <w:t xml:space="preserve">(Szacowany czas: 35 minut)</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Podzielmy się na grupy. Każda grupa otrzyma zestaw uproszczonych fragmentów dokumentacji dla hipotetycznej biogazowni rolniczej 800 kWel, wykorzystującej gnojowicę, kiszonkę kukurydzy i wysłodki buraczane (odpady).</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Dokumenty (fragmenty):</w:t>
      </w:r>
    </w:p>
    <w:p w:rsidR="00000000" w:rsidDel="00000000" w:rsidP="00000000" w:rsidRDefault="00000000" w:rsidRPr="00000000" w14:paraId="00000050">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Fragment Wniosku o DUŚ (Opis Przedsięwzięcia):</w:t>
      </w:r>
      <w:r w:rsidDel="00000000" w:rsidR="00000000" w:rsidRPr="00000000">
        <w:rPr>
          <w:rFonts w:ascii="Google Sans Text" w:cs="Google Sans Text" w:eastAsia="Google Sans Text" w:hAnsi="Google Sans Text"/>
          <w:color w:val="1b1c1d"/>
          <w:rtl w:val="0"/>
        </w:rPr>
        <w:t xml:space="preserve"> Zawiera podstawowe parametry instalacji (moc 800 kWel), rodzaje i ilości substratów (gnojowica 20 tys. t/r, kiszonka kukurydzy 15 tys. t/r, wysłodki buraczane - odpad 02 04 80 - 5 tys. t/r), sposób zagospodarowania pofermentu (ok. 38 tys. t/r, zakładany proces R10 na gruntach dzierżawionych), opis technologii (fermentacja mezofilowa, CHP, pochodnia), szacowane emisje (hałas &lt;50 dB(A) na granicy, NH3, H2S - odsiarczanie biologiczne).</w:t>
      </w:r>
    </w:p>
    <w:p w:rsidR="00000000" w:rsidDel="00000000" w:rsidP="00000000" w:rsidRDefault="00000000" w:rsidRPr="00000000" w14:paraId="00000051">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Fragment Decyzji o Warunkach Zabudowy (WZ):</w:t>
      </w:r>
      <w:r w:rsidDel="00000000" w:rsidR="00000000" w:rsidRPr="00000000">
        <w:rPr>
          <w:rFonts w:ascii="Google Sans Text" w:cs="Google Sans Text" w:eastAsia="Google Sans Text" w:hAnsi="Google Sans Text"/>
          <w:color w:val="1b1c1d"/>
          <w:rtl w:val="0"/>
        </w:rPr>
        <w:t xml:space="preserve"> Określa podstawowe parametry zabudowy (wysokość max 15m dla zbiorników, 8m dla budynku CHP, pow. zabudowy 30%), wskaźniki zagospodarowania terenu (min. 20% pow. biologicznie czynna), obsługę komunikacyjną (zjazd z drogi gminnej nr 123), warunek uzyskania PnB w ciągu 3 lat od dnia, w którym decyzja stała się ostateczna.</w:t>
      </w:r>
    </w:p>
    <w:p w:rsidR="00000000" w:rsidDel="00000000" w:rsidP="00000000" w:rsidRDefault="00000000" w:rsidRPr="00000000" w14:paraId="00000052">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Fragment Zezwolenia na Przetwarzanie Odpadów (R10):</w:t>
      </w:r>
      <w:r w:rsidDel="00000000" w:rsidR="00000000" w:rsidRPr="00000000">
        <w:rPr>
          <w:rFonts w:ascii="Google Sans Text" w:cs="Google Sans Text" w:eastAsia="Google Sans Text" w:hAnsi="Google Sans Text"/>
          <w:color w:val="1b1c1d"/>
          <w:rtl w:val="0"/>
        </w:rPr>
        <w:t xml:space="preserve"> Wskazuje kody odpadów (19 06 05, 19 06 06), dopuszczalne ilości roczne (łącznie 40 000 Mg), miejsce przetwarzania (numery działek rolnych dzierżawionych przez XYZ Sp. z o.o.), podstawowe warunki prowadzenia procesu (dawka max 170 kg N/ha/rok wg planu nawozowego, zakaz stosowania od 1 grudnia do końca lutego, obowiązek badań gleby co 3 lata na metale ciężkie: Cd, Cu, Ni, Pb, Zn, Cr, Hg, obowiązek prowadzenia ewidencji zastosowanych odpadów w BDO).</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Wasze Zadanie (w grupach):</w:t>
      </w:r>
    </w:p>
    <w:p w:rsidR="00000000" w:rsidDel="00000000" w:rsidP="00000000" w:rsidRDefault="00000000" w:rsidRPr="00000000" w14:paraId="00000054">
      <w:pPr>
        <w:numPr>
          <w:ilvl w:val="0"/>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color w:val="1b1c1d"/>
          <w:rtl w:val="0"/>
        </w:rPr>
        <w:t xml:space="preserve">Przeanalizujcie otrzymane fragmenty.</w:t>
      </w:r>
    </w:p>
    <w:p w:rsidR="00000000" w:rsidDel="00000000" w:rsidP="00000000" w:rsidRDefault="00000000" w:rsidRPr="00000000" w14:paraId="00000055">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Dla Wniosku o DUŚ:</w:t>
      </w:r>
      <w:r w:rsidDel="00000000" w:rsidR="00000000" w:rsidRPr="00000000">
        <w:rPr>
          <w:rFonts w:ascii="Google Sans Text" w:cs="Google Sans Text" w:eastAsia="Google Sans Text" w:hAnsi="Google Sans Text"/>
          <w:color w:val="1b1c1d"/>
          <w:rtl w:val="0"/>
        </w:rPr>
        <w:t xml:space="preserve"> Jakie kluczowe informacje o substratach i pofermencie są niezbędne? Czy fakt użycia odpadu (wysłodków) wpływa na procedurę (np. konieczność OOŚ)? Jakie potencjalne problemy środowiskowe (np. odory z magazynowania wysłodków, hałas z CHP, transport substratów) wymagają analizy i zaproponowania środków minimalizujących w pełnej dokumentacji?</w:t>
      </w:r>
    </w:p>
    <w:p w:rsidR="00000000" w:rsidDel="00000000" w:rsidP="00000000" w:rsidRDefault="00000000" w:rsidRPr="00000000" w14:paraId="00000056">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Dla Decyzji WZ:</w:t>
      </w:r>
      <w:r w:rsidDel="00000000" w:rsidR="00000000" w:rsidRPr="00000000">
        <w:rPr>
          <w:rFonts w:ascii="Google Sans Text" w:cs="Google Sans Text" w:eastAsia="Google Sans Text" w:hAnsi="Google Sans Text"/>
          <w:color w:val="1b1c1d"/>
          <w:rtl w:val="0"/>
        </w:rPr>
        <w:t xml:space="preserve"> Jakie konkretne ograniczenia dla projektu wynikają z tej decyzji (np. dla wysokości zbiorników)? Co oznacza warunek uzyskania PnB w ciągu 3 lat – jakie ryzyko niesie dla inwestora?</w:t>
      </w:r>
    </w:p>
    <w:p w:rsidR="00000000" w:rsidDel="00000000" w:rsidP="00000000" w:rsidRDefault="00000000" w:rsidRPr="00000000" w14:paraId="00000057">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Dla Zezwolenia R10:</w:t>
      </w:r>
      <w:r w:rsidDel="00000000" w:rsidR="00000000" w:rsidRPr="00000000">
        <w:rPr>
          <w:rFonts w:ascii="Google Sans Text" w:cs="Google Sans Text" w:eastAsia="Google Sans Text" w:hAnsi="Google Sans Text"/>
          <w:color w:val="1b1c1d"/>
          <w:rtl w:val="0"/>
        </w:rPr>
        <w:t xml:space="preserve"> Kto jest adresatem tego zezwolenia (inwestor czy rolnik XYZ)? Jakie konkretne obowiązki (badania, ewidencja) spoczywają na posiadaczu zezwolenia? Czy zezwolenie to pozwala na stosowanie pofermentu na innych działkach niż wymienione?</w:t>
      </w:r>
    </w:p>
    <w:p w:rsidR="00000000" w:rsidDel="00000000" w:rsidP="00000000" w:rsidRDefault="00000000" w:rsidRPr="00000000" w14:paraId="00000058">
      <w:pPr>
        <w:numPr>
          <w:ilvl w:val="0"/>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color w:val="1b1c1d"/>
          <w:rtl w:val="0"/>
        </w:rPr>
        <w:t xml:space="preserve">Wskażcie, które urzędy byłyby odpowiedzialne za wydanie tych konkretnych decyzji/zezwoleń (DUŚ - ?, WZ - ?, Zezwolenie R10 - ?).</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240" w:before="120" w:line="275.9999942779541" w:lineRule="auto"/>
        <w:rPr>
          <w:rFonts w:ascii="Google Sans Text" w:cs="Google Sans Text" w:eastAsia="Google Sans Text" w:hAnsi="Google Sans Text"/>
          <w:i w:val="1"/>
          <w:color w:val="1b1c1d"/>
        </w:rPr>
      </w:pPr>
      <w:r w:rsidDel="00000000" w:rsidR="00000000" w:rsidRPr="00000000">
        <w:rPr>
          <w:rFonts w:ascii="Google Sans Text" w:cs="Google Sans Text" w:eastAsia="Google Sans Text" w:hAnsi="Google Sans Text"/>
          <w:i w:val="1"/>
          <w:color w:val="1b1c1d"/>
          <w:rtl w:val="0"/>
        </w:rPr>
        <w:t xml:space="preserve">(Rozdanie materiałów. Czas na analizę w grupach ok. 20 minut. Następnie wspólne omówienie wyników – ok. 15 minut.)</w:t>
      </w:r>
    </w:p>
    <w:p w:rsidR="00000000" w:rsidDel="00000000" w:rsidP="00000000" w:rsidRDefault="00000000" w:rsidRPr="00000000" w14:paraId="0000005A">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Część 4: Kluczowe Wnioski - 10 Zasad Sprawnego Procesu Inwestycyjnego</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1"/>
          <w:color w:val="1b1c1d"/>
        </w:rPr>
      </w:pPr>
      <w:r w:rsidDel="00000000" w:rsidR="00000000" w:rsidRPr="00000000">
        <w:rPr>
          <w:rFonts w:ascii="Google Sans Text" w:cs="Google Sans Text" w:eastAsia="Google Sans Text" w:hAnsi="Google Sans Text"/>
          <w:i w:val="1"/>
          <w:color w:val="1b1c1d"/>
          <w:rtl w:val="0"/>
        </w:rPr>
        <w:t xml:space="preserve">(Szacowany czas: 5 minut)</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Podsumujmy najważniejsze zasady nawigacji przez proces formalno-prawny:</w:t>
      </w:r>
    </w:p>
    <w:p w:rsidR="00000000" w:rsidDel="00000000" w:rsidP="00000000" w:rsidRDefault="00000000" w:rsidRPr="00000000" w14:paraId="0000005D">
      <w:pPr>
        <w:numPr>
          <w:ilvl w:val="0"/>
          <w:numId w:val="5"/>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Dobra Lokalizacja to Mniej Problemów:</w:t>
      </w:r>
      <w:r w:rsidDel="00000000" w:rsidR="00000000" w:rsidRPr="00000000">
        <w:rPr>
          <w:rFonts w:ascii="Google Sans Text" w:cs="Google Sans Text" w:eastAsia="Google Sans Text" w:hAnsi="Google Sans Text"/>
          <w:color w:val="1b1c1d"/>
          <w:rtl w:val="0"/>
        </w:rPr>
        <w:t xml:space="preserve"> Wybór działki zgodnej z MPZP lub łatwej do uzyskania WZ, z dala od zabudowy i obszarów chronionych, znacząco upraszcza procedury i minimalizuje ryzyko konfliktów.</w:t>
      </w:r>
    </w:p>
    <w:p w:rsidR="00000000" w:rsidDel="00000000" w:rsidP="00000000" w:rsidRDefault="00000000" w:rsidRPr="00000000" w14:paraId="0000005E">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DUŚ to Klucz:</w:t>
      </w:r>
      <w:r w:rsidDel="00000000" w:rsidR="00000000" w:rsidRPr="00000000">
        <w:rPr>
          <w:rFonts w:ascii="Google Sans Text" w:cs="Google Sans Text" w:eastAsia="Google Sans Text" w:hAnsi="Google Sans Text"/>
          <w:color w:val="1b1c1d"/>
          <w:rtl w:val="0"/>
        </w:rPr>
        <w:t xml:space="preserve"> Uzyskaj Decyzję Środowiskową jako jedną z pierwszych – określi ona ramy i warunki dla dalszego projektowania; jej uzyskanie bywa czasochłonne i niepewne.</w:t>
      </w:r>
    </w:p>
    <w:p w:rsidR="00000000" w:rsidDel="00000000" w:rsidP="00000000" w:rsidRDefault="00000000" w:rsidRPr="00000000" w14:paraId="0000005F">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Poznaj Ułatwienia (i Ograniczenia):</w:t>
      </w:r>
      <w:r w:rsidDel="00000000" w:rsidR="00000000" w:rsidRPr="00000000">
        <w:rPr>
          <w:rFonts w:ascii="Google Sans Text" w:cs="Google Sans Text" w:eastAsia="Google Sans Text" w:hAnsi="Google Sans Text"/>
          <w:color w:val="1b1c1d"/>
          <w:rtl w:val="0"/>
        </w:rPr>
        <w:t xml:space="preserve"> Zapoznaj się z Ustawą o ułatwieniach – może skrócić terminy i uprościć procedury WZ/MPZP, ale ma swoje warunki (moc, podmiot, zakaz zbywania) i nie eliminuje wszystkich barier.</w:t>
      </w:r>
    </w:p>
    <w:p w:rsidR="00000000" w:rsidDel="00000000" w:rsidP="00000000" w:rsidRDefault="00000000" w:rsidRPr="00000000" w14:paraId="00000060">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Zaplanuj Zarządzanie Pofermentem:</w:t>
      </w:r>
      <w:r w:rsidDel="00000000" w:rsidR="00000000" w:rsidRPr="00000000">
        <w:rPr>
          <w:rFonts w:ascii="Google Sans Text" w:cs="Google Sans Text" w:eastAsia="Google Sans Text" w:hAnsi="Google Sans Text"/>
          <w:color w:val="1b1c1d"/>
          <w:rtl w:val="0"/>
        </w:rPr>
        <w:t xml:space="preserve"> Wybierz świadomie ścieżkę formalną (R10, produkt uboczny, nawóz, produkt pofermentacyjny) adekwatną do Twojej sytuacji i substratów; rozpocznij procedury odpowiednio wcześnie, bo niektóre są długotrwałe.</w:t>
      </w:r>
    </w:p>
    <w:p w:rsidR="00000000" w:rsidDel="00000000" w:rsidP="00000000" w:rsidRDefault="00000000" w:rsidRPr="00000000" w14:paraId="00000061">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BDO to Obowiązek (zazwyczaj):</w:t>
      </w:r>
      <w:r w:rsidDel="00000000" w:rsidR="00000000" w:rsidRPr="00000000">
        <w:rPr>
          <w:rFonts w:ascii="Google Sans Text" w:cs="Google Sans Text" w:eastAsia="Google Sans Text" w:hAnsi="Google Sans Text"/>
          <w:color w:val="1b1c1d"/>
          <w:rtl w:val="0"/>
        </w:rPr>
        <w:t xml:space="preserve"> Jeśli wytwarzasz lub przetwarzasz poferment jako odpad, zarejestruj się w Bazie Danych Odpadowych i prowadź rzetelną ewidencję.</w:t>
      </w:r>
    </w:p>
    <w:p w:rsidR="00000000" w:rsidDel="00000000" w:rsidP="00000000" w:rsidRDefault="00000000" w:rsidRPr="00000000" w14:paraId="00000062">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Warunki Przyłączenia – Uzyskaj Wcześnie:</w:t>
      </w:r>
      <w:r w:rsidDel="00000000" w:rsidR="00000000" w:rsidRPr="00000000">
        <w:rPr>
          <w:rFonts w:ascii="Google Sans Text" w:cs="Google Sans Text" w:eastAsia="Google Sans Text" w:hAnsi="Google Sans Text"/>
          <w:color w:val="1b1c1d"/>
          <w:rtl w:val="0"/>
        </w:rPr>
        <w:t xml:space="preserve"> Czas oczekiwania i koszty przyłączenia do sieci (zwłaszcza elektroenergetycznej) mogą być znaczące i stanowić barierę – złóż wniosek jak najszybciej.</w:t>
      </w:r>
    </w:p>
    <w:p w:rsidR="00000000" w:rsidDel="00000000" w:rsidP="00000000" w:rsidRDefault="00000000" w:rsidRPr="00000000" w14:paraId="00000063">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Kompletny Projekt Budowlany:</w:t>
      </w:r>
      <w:r w:rsidDel="00000000" w:rsidR="00000000" w:rsidRPr="00000000">
        <w:rPr>
          <w:rFonts w:ascii="Google Sans Text" w:cs="Google Sans Text" w:eastAsia="Google Sans Text" w:hAnsi="Google Sans Text"/>
          <w:color w:val="1b1c1d"/>
          <w:rtl w:val="0"/>
        </w:rPr>
        <w:t xml:space="preserve"> Starannie przygotowany projekt, uwzględniający wszystkie uzgodnienia i warunki z wcześniejszych decyzji (DUŚ, WZ), przyspiesza uzyskanie PnB i minimalizuje ryzyko problemów na budowie.</w:t>
      </w:r>
    </w:p>
    <w:p w:rsidR="00000000" w:rsidDel="00000000" w:rsidP="00000000" w:rsidRDefault="00000000" w:rsidRPr="00000000" w14:paraId="00000064">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Współpracuj z Urzędami:</w:t>
      </w:r>
      <w:r w:rsidDel="00000000" w:rsidR="00000000" w:rsidRPr="00000000">
        <w:rPr>
          <w:rFonts w:ascii="Google Sans Text" w:cs="Google Sans Text" w:eastAsia="Google Sans Text" w:hAnsi="Google Sans Text"/>
          <w:color w:val="1b1c1d"/>
          <w:rtl w:val="0"/>
        </w:rPr>
        <w:t xml:space="preserve"> Utrzymuj otwarty i merytoryczny dialog z urzędnikami, wyjaśniaj wątpliwości, terminowo odpowiadaj na wezwania – to usprawnia postępowania.</w:t>
      </w:r>
    </w:p>
    <w:p w:rsidR="00000000" w:rsidDel="00000000" w:rsidP="00000000" w:rsidRDefault="00000000" w:rsidRPr="00000000" w14:paraId="00000065">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Nie Zapomnij o Weterynarii (przy UPPZ):</w:t>
      </w:r>
      <w:r w:rsidDel="00000000" w:rsidR="00000000" w:rsidRPr="00000000">
        <w:rPr>
          <w:rFonts w:ascii="Google Sans Text" w:cs="Google Sans Text" w:eastAsia="Google Sans Text" w:hAnsi="Google Sans Text"/>
          <w:color w:val="1b1c1d"/>
          <w:rtl w:val="0"/>
        </w:rPr>
        <w:t xml:space="preserve"> Jeśli planujesz używać substratów pochodzenia zwierzęcego (kat. 2 lub 3), skontaktuj się z Inspekcją Weterynaryjną na wczesnym etapie, aby poznać wymogi (zatwierdzenie zakładu, HACCP, higienizacja).</w:t>
      </w:r>
    </w:p>
    <w:p w:rsidR="00000000" w:rsidDel="00000000" w:rsidP="00000000" w:rsidRDefault="00000000" w:rsidRPr="00000000" w14:paraId="00000066">
      <w:pPr>
        <w:numPr>
          <w:ilvl w:val="0"/>
          <w:numId w:val="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Korzystaj z Doświadczonych Doradców:</w:t>
      </w:r>
      <w:r w:rsidDel="00000000" w:rsidR="00000000" w:rsidRPr="00000000">
        <w:rPr>
          <w:rFonts w:ascii="Google Sans Text" w:cs="Google Sans Text" w:eastAsia="Google Sans Text" w:hAnsi="Google Sans Text"/>
          <w:color w:val="1b1c1d"/>
          <w:rtl w:val="0"/>
        </w:rPr>
        <w:t xml:space="preserve"> Profesjonalne wsparcie prawne, techniczne, środowiskowe i finansowe na etapie przygotowania inwestycji to inwestycja, która minimalizuje ryzyko i często się zwraca.</w:t>
      </w:r>
    </w:p>
    <w:p w:rsidR="00000000" w:rsidDel="00000000" w:rsidP="00000000" w:rsidRDefault="00000000" w:rsidRPr="00000000" w14:paraId="00000067">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Część 5: Podsumowanie i Quiz</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1"/>
          <w:color w:val="1b1c1d"/>
        </w:rPr>
      </w:pPr>
      <w:r w:rsidDel="00000000" w:rsidR="00000000" w:rsidRPr="00000000">
        <w:rPr>
          <w:rFonts w:ascii="Google Sans Text" w:cs="Google Sans Text" w:eastAsia="Google Sans Text" w:hAnsi="Google Sans Text"/>
          <w:i w:val="1"/>
          <w:color w:val="1b1c1d"/>
          <w:rtl w:val="0"/>
        </w:rPr>
        <w:t xml:space="preserve">(Szacowany czas: 10 minut)</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Podsumowanie:</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Przeszliśmy dzisiaj przez cały, często skomplikowany, proces inwestycyjny biogazowni rolniczej od strony formalno-prawnej. Zidentyfikowaliśmy kluczowe etapy, decyzje (DUŚ, WZ/MPZP, PnB, PnU), pozwolenia (np. R10) oraz obowiązki rejestracyjne (BDO, URE/KOWR). Szczegółowo omówiliśmy różne możliwości prawnego uregulowania zagospodarowania pofermentu oraz zwróciliśmy uwagę na ułatwienia (i pewne ograniczenia) wprowadzone przez Ustawę o ułatwieniach z 2023 roku. Pamiętajcie, że precyzyjne planowanie, staranne przygotowanie dokumentacji i proaktywna współpraca z urzędami to fundament sprawnej i zgodnej z prawem realizacji inwestycji.</w:t>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Szybki Quiz:</w:t>
      </w:r>
    </w:p>
    <w:p w:rsidR="00000000" w:rsidDel="00000000" w:rsidP="00000000" w:rsidRDefault="00000000" w:rsidRPr="00000000" w14:paraId="0000006C">
      <w:pPr>
        <w:numPr>
          <w:ilvl w:val="0"/>
          <w:numId w:val="6"/>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color w:val="1b1c1d"/>
          <w:rtl w:val="0"/>
        </w:rPr>
        <w:t xml:space="preserve">Jakie są dwie główne ścieżki uzyskania zgody na lokalizację inwestycji w kontekście planowania przestrzennego?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color w:val="1b1c1d"/>
          <w:rtl w:val="0"/>
        </w:rPr>
        <w:t xml:space="preserve">(Odpowiedź: Zgodność z Miejscowym Planem Zagospodarowania Przestrzennego (MPZP) lub uzyskanie Decyzji o Warunkach Zabudowy (WZ))</w:t>
      </w:r>
    </w:p>
    <w:p w:rsidR="00000000" w:rsidDel="00000000" w:rsidP="00000000" w:rsidRDefault="00000000" w:rsidRPr="00000000" w14:paraId="0000006D">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color w:val="1b1c1d"/>
          <w:rtl w:val="0"/>
        </w:rPr>
        <w:t xml:space="preserve">Jaka decyzja administracyjna określa środowiskowe warunki realizacji przedsięwzięcia i jest wymagana przed PnB?</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color w:val="1b1c1d"/>
          <w:rtl w:val="0"/>
        </w:rPr>
        <w:t xml:space="preserve">(Odpowiedź: Decyzja o Środowiskowych Uwarunkowaniach (DUŚ))</w:t>
      </w:r>
    </w:p>
    <w:p w:rsidR="00000000" w:rsidDel="00000000" w:rsidP="00000000" w:rsidRDefault="00000000" w:rsidRPr="00000000" w14:paraId="0000006E">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color w:val="1b1c1d"/>
          <w:rtl w:val="0"/>
        </w:rPr>
        <w:t xml:space="preserve">Podaj kod odpadu dla ciekłego pofermentu i nazwę procesu odzysku polegającego na jego rolniczym wykorzystaniu.</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color w:val="1b1c1d"/>
          <w:rtl w:val="0"/>
        </w:rPr>
        <w:t xml:space="preserve">(Odpowiedź: Kod 19 06 05, Proces R10)</w:t>
      </w:r>
    </w:p>
    <w:p w:rsidR="00000000" w:rsidDel="00000000" w:rsidP="00000000" w:rsidRDefault="00000000" w:rsidRPr="00000000" w14:paraId="0000006F">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color w:val="1b1c1d"/>
          <w:rtl w:val="0"/>
        </w:rPr>
        <w:t xml:space="preserve">Jaki urząd wydaje pozwolenie na budowę dla biogazowni rolniczej?</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color w:val="1b1c1d"/>
          <w:rtl w:val="0"/>
        </w:rPr>
        <w:t xml:space="preserve">(Odpowiedź: Starosta (lub prezydent miasta na prawach powiatu))</w:t>
      </w:r>
    </w:p>
    <w:p w:rsidR="00000000" w:rsidDel="00000000" w:rsidP="00000000" w:rsidRDefault="00000000" w:rsidRPr="00000000" w14:paraId="00000070">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color w:val="1b1c1d"/>
          <w:rtl w:val="0"/>
        </w:rPr>
        <w:t xml:space="preserve">Która ustawa z 2023 roku wprowadziła ułatwienia, np. skrócone terminy wydawania decyzji WZ i PnB dla biogazowni rolniczych?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color w:val="1b1c1d"/>
          <w:rtl w:val="0"/>
        </w:rPr>
        <w:t xml:space="preserve">(Odpowiedź: Ustawa o ułatwieniach w przygotowaniu i realizacji inwestycji w zakresie biogazowni rolniczych)</w:t>
      </w:r>
    </w:p>
    <w:p w:rsidR="00000000" w:rsidDel="00000000" w:rsidP="00000000" w:rsidRDefault="00000000" w:rsidRPr="00000000" w14:paraId="00000071">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color w:val="1b1c1d"/>
          <w:rtl w:val="0"/>
        </w:rPr>
        <w:t xml:space="preserve">W jakiej bazie danych musi zarejestrować się podmiot wytwarzający poferment jako odpad?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color w:val="1b1c1d"/>
          <w:rtl w:val="0"/>
        </w:rPr>
        <w:t xml:space="preserve">(Odpowiedź: Baza Danych Odpadowych (BDO))</w:t>
      </w:r>
    </w:p>
    <w:p w:rsidR="00000000" w:rsidDel="00000000" w:rsidP="00000000" w:rsidRDefault="00000000" w:rsidRPr="00000000" w14:paraId="00000072">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color w:val="1b1c1d"/>
          <w:rtl w:val="0"/>
        </w:rPr>
        <w:t xml:space="preserve">Uznanie pofermentu za co (zgodnie z art. 10 Ustawy o odpadach) zwalnia z obowiązku uzyskiwania zezwolenia na przetwarzanie odpadów?</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color w:val="1b1c1d"/>
          <w:rtl w:val="0"/>
        </w:rPr>
        <w:t xml:space="preserve">(Odpowiedź: Za produkt uboczny)</w:t>
      </w:r>
    </w:p>
    <w:p w:rsidR="00000000" w:rsidDel="00000000" w:rsidP="00000000" w:rsidRDefault="00000000" w:rsidRPr="00000000" w14:paraId="00000073">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color w:val="1b1c1d"/>
          <w:rtl w:val="0"/>
        </w:rPr>
        <w:t xml:space="preserve">Jak długi jest (zgodnie z Ustawą o ułatwieniach) okres, w którym podmiot, który skorzystał z ułatwień, nie może zbyć biogazowni podmiotom innym niż uprawnione?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color w:val="1b1c1d"/>
          <w:rtl w:val="0"/>
        </w:rPr>
        <w:t xml:space="preserve">(Odpowiedź: 5 lat)</w:t>
      </w:r>
    </w:p>
    <w:p w:rsidR="00000000" w:rsidDel="00000000" w:rsidP="00000000" w:rsidRDefault="00000000" w:rsidRPr="00000000" w14:paraId="00000074">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color w:val="1b1c1d"/>
          <w:rtl w:val="0"/>
        </w:rPr>
        <w:t xml:space="preserve">Rolnicze wykorzystanie pofermentu (niezależnie od ścieżki formalnej) limituje roczną dawkę azotu do ilu kg N/ha?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color w:val="1b1c1d"/>
          <w:rtl w:val="0"/>
        </w:rPr>
        <w:t xml:space="preserve">(Odpowiedź: 170 kg N/ha)</w:t>
      </w:r>
    </w:p>
    <w:p w:rsidR="00000000" w:rsidDel="00000000" w:rsidP="00000000" w:rsidRDefault="00000000" w:rsidRPr="00000000" w14:paraId="00000075">
      <w:pPr>
        <w:numPr>
          <w:ilvl w:val="0"/>
          <w:numId w:val="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color w:val="1b1c1d"/>
          <w:rtl w:val="0"/>
        </w:rPr>
        <w:t xml:space="preserve">Jaki system kontroli (skrót) jest wymagany przy przetwarzaniu UPPZ w biogazowni?</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color w:val="1b1c1d"/>
          <w:rtl w:val="0"/>
        </w:rPr>
        <w:t xml:space="preserve">(Odpowiedź: HACCP)</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240" w:before="120" w:line="275.9999942779541" w:lineRule="auto"/>
        <w:rPr>
          <w:rFonts w:ascii="Google Sans Text" w:cs="Google Sans Text" w:eastAsia="Google Sans Text" w:hAnsi="Google Sans Text"/>
          <w:i w:val="1"/>
          <w:color w:val="1b1c1d"/>
        </w:rPr>
      </w:pPr>
      <w:r w:rsidDel="00000000" w:rsidR="00000000" w:rsidRPr="00000000">
        <w:rPr>
          <w:rFonts w:ascii="Google Sans Text" w:cs="Google Sans Text" w:eastAsia="Google Sans Text" w:hAnsi="Google Sans Text"/>
          <w:i w:val="1"/>
          <w:color w:val="1b1c1d"/>
          <w:rtl w:val="0"/>
        </w:rPr>
        <w:t xml:space="preserve">(Zebranie odpowiedzi quizu lub omówienie ich ustnie)</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To kończy Moduł H. Dziękuję za uwagę i aktywny udział.</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5">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6">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3">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4">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5">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6">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7">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8">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9">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0">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i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i w:val="0"/>
      <w:sz w:val="16"/>
      <w:szCs w:val="16"/>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