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3A514" w14:textId="77777777" w:rsidR="000826FD" w:rsidRDefault="00000000">
      <w:pPr>
        <w:pStyle w:val="Nagwek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1. Moduł H – Od Pomysłu do Uruchomienia: Nawigacja przez Proces Inwestycyjny i Wymogi Prawne Biogazowni</w:t>
      </w:r>
    </w:p>
    <w:p w14:paraId="3EA0F843" w14:textId="77777777" w:rsidR="000826FD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Proces Inwestycyjny i Procedury Formalno-Prawne Biogazowni Rolniczej</w:t>
      </w:r>
    </w:p>
    <w:p w14:paraId="4060EFE4" w14:textId="77777777" w:rsidR="000826FD" w:rsidRDefault="00000000">
      <w:pPr>
        <w:pStyle w:val="Nagwek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 Wprowadzenie: Złożoność Procesu Inwestycyjnego Biogazowni</w:t>
      </w:r>
    </w:p>
    <w:p w14:paraId="61DFD797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Dlaczego procedury formalno-prawne są kluczowe?</w:t>
      </w:r>
    </w:p>
    <w:p w14:paraId="635EACEC" w14:textId="08A23BFC" w:rsidR="000826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Proces inwestycyjny biogazowni jest złożony, wieloetapowy i interdyscyplinarny, angażując wiele instytucji . Bez sprawnego przejścia przez procedury, projekt pozostanie na papierze .</w:t>
      </w:r>
    </w:p>
    <w:p w14:paraId="421CB73F" w14:textId="36D0B87E" w:rsidR="000826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Wymaga uzyskania licznych pozwoleń, decyzji, opinii i uzgodnień, co wymaga skrupulatności i dobrego planowania .</w:t>
      </w:r>
    </w:p>
    <w:p w14:paraId="62AEB9BC" w14:textId="06E6EEBF" w:rsidR="000826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Prawidłowe zaplanowanie i przeprowadzenie procedur jest kluczowe dla sukcesu projektu, minimalizując ryzyka.</w:t>
      </w:r>
    </w:p>
    <w:p w14:paraId="641856EF" w14:textId="77777777" w:rsidR="000826FD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Ryzyka błędów formalno-prawnych:</w:t>
      </w:r>
    </w:p>
    <w:p w14:paraId="14CBEF69" w14:textId="6CD23469" w:rsidR="000826FD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Opóźnienia:</w:t>
      </w:r>
      <w:r>
        <w:rPr>
          <w:rFonts w:ascii="Google Sans Text" w:eastAsia="Google Sans Text" w:hAnsi="Google Sans Text" w:cs="Google Sans Text"/>
          <w:color w:val="1B1C1D"/>
        </w:rPr>
        <w:t xml:space="preserve"> Błędy w dokumentacji czy interpretacji przepisów mogą wydłużyć proces o miesiące, a nawet lata.</w:t>
      </w:r>
    </w:p>
    <w:p w14:paraId="6EAC47CA" w14:textId="4BBDDA95" w:rsidR="000826FD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Wzrost kosztów:</w:t>
      </w:r>
      <w:r>
        <w:rPr>
          <w:rFonts w:ascii="Google Sans Text" w:eastAsia="Google Sans Text" w:hAnsi="Google Sans Text" w:cs="Google Sans Text"/>
          <w:color w:val="1B1C1D"/>
        </w:rPr>
        <w:t xml:space="preserve"> Konieczność dodatkowych ekspertyz, modyfikacji projektu czy obsługi prawnej generuje nieprzewidziane wydatki.</w:t>
      </w:r>
    </w:p>
    <w:p w14:paraId="624AF682" w14:textId="28CCAFD6" w:rsidR="000826FD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Fiasko inwestycji:</w:t>
      </w:r>
      <w:r>
        <w:rPr>
          <w:rFonts w:ascii="Google Sans Text" w:eastAsia="Google Sans Text" w:hAnsi="Google Sans Text" w:cs="Google Sans Text"/>
          <w:color w:val="1B1C1D"/>
        </w:rPr>
        <w:t xml:space="preserve"> Odmowa wydania kluczowych decyzji (np. DUŚ, PnB) może uniemożliwić realizację projektu, mimo dobrej technologii i ekonomiki.</w:t>
      </w:r>
    </w:p>
    <w:p w14:paraId="70DFC93E" w14:textId="5268A228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3. Cel Modułu: Czego</w:t>
      </w:r>
      <w:r w:rsidR="0085665B">
        <w:rPr>
          <w:rFonts w:ascii="Google Sans" w:eastAsia="Google Sans" w:hAnsi="Google Sans" w:cs="Google Sans"/>
          <w:color w:val="1B1C1D"/>
        </w:rPr>
        <w:t xml:space="preserve"> się nauczymy</w:t>
      </w:r>
      <w:r>
        <w:rPr>
          <w:rFonts w:ascii="Google Sans" w:eastAsia="Google Sans" w:hAnsi="Google Sans" w:cs="Google Sans"/>
          <w:color w:val="1B1C1D"/>
        </w:rPr>
        <w:t>?</w:t>
      </w:r>
    </w:p>
    <w:p w14:paraId="54383E91" w14:textId="6BC5B247" w:rsidR="000826FD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Prześledzenie całej ścieżki inwestycyjnej: od koncepcji po eksploatację, co pozwoli zrozumieć sekwencję działań.</w:t>
      </w:r>
    </w:p>
    <w:p w14:paraId="0CC52203" w14:textId="2E81C7A1" w:rsidR="000826FD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Identyfikacja kluczowych etapów, wymaganych dokumentów, orientacyjnych terminów i zaangażowanych organów administracji.</w:t>
      </w:r>
    </w:p>
    <w:p w14:paraId="01B67EB2" w14:textId="48A0A177" w:rsidR="000826FD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Zrozumienie specyficznych obowiązków prawnych: gospodarka odpadami (w tym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pofermentem), wymogi sanitarne (weterynaryjne) czy energetyczne.</w:t>
      </w:r>
    </w:p>
    <w:p w14:paraId="51272F94" w14:textId="77777777" w:rsidR="000826FD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Praktyczne korzyści ze zrozumienia procedur:</w:t>
      </w:r>
    </w:p>
    <w:p w14:paraId="67593475" w14:textId="307FD966" w:rsidR="000826FD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Lepsze, bardziej realistyczne planowanie harmonogramu inwestycji.</w:t>
      </w:r>
    </w:p>
    <w:p w14:paraId="643E485D" w14:textId="12DA74FA" w:rsidR="000826FD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Dokładniejsze oszacowanie realnego czasu trwania projektu.</w:t>
      </w:r>
    </w:p>
    <w:p w14:paraId="446B0C26" w14:textId="345C35AE" w:rsidR="000826FD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Wcześniejsza identyfikacja potencjalnych ryzyk i "wąskich gardeł".</w:t>
      </w:r>
    </w:p>
    <w:p w14:paraId="59BDEB04" w14:textId="5C0E7353" w:rsidR="000826FD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Uniknięcie kosztownych pułapek proceduralnych i finansowych.</w:t>
      </w:r>
    </w:p>
    <w:p w14:paraId="65EDD0CB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4. Etapy Procesu Inwestycyjnego - Mapa Drogowa</w:t>
      </w:r>
    </w:p>
    <w:p w14:paraId="6F6FDB80" w14:textId="48837DFE" w:rsidR="000826FD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Faza Koncepcyjna:</w:t>
      </w:r>
      <w:r>
        <w:rPr>
          <w:rFonts w:ascii="Google Sans Text" w:eastAsia="Google Sans Text" w:hAnsi="Google Sans Text" w:cs="Google Sans Text"/>
          <w:color w:val="1B1C1D"/>
        </w:rPr>
        <w:t xml:space="preserve"> Pomysł, Analiza (techniczna, ekonomiczna, rynkowa), Wybór Lokalizacji, Wstępne Zabezpieczenie Substratów.</w:t>
      </w:r>
    </w:p>
    <w:p w14:paraId="3144C2F3" w14:textId="4DE8F170" w:rsidR="000826FD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Faza Przygotowawcza (Formalno-Prawna):</w:t>
      </w:r>
      <w:r>
        <w:rPr>
          <w:rFonts w:ascii="Google Sans Text" w:eastAsia="Google Sans Text" w:hAnsi="Google Sans Text" w:cs="Google Sans Text"/>
          <w:color w:val="1B1C1D"/>
        </w:rPr>
        <w:t xml:space="preserve"> Uzyskanie kluczowych decyzji: DUŚ, WZ/MPZP, Warunki Przyłączenia do sieci, Pozwolenie na Budowę (PnB).</w:t>
      </w:r>
    </w:p>
    <w:p w14:paraId="35F7AB16" w14:textId="1FDEA6B1" w:rsidR="000826FD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Faza Realizacji:</w:t>
      </w:r>
      <w:r>
        <w:rPr>
          <w:rFonts w:ascii="Google Sans Text" w:eastAsia="Google Sans Text" w:hAnsi="Google Sans Text" w:cs="Google Sans Text"/>
          <w:color w:val="1B1C1D"/>
        </w:rPr>
        <w:t xml:space="preserve"> Prace budowlane, dostawy i montaż technologii.</w:t>
      </w:r>
    </w:p>
    <w:p w14:paraId="796B376A" w14:textId="052C28F7" w:rsidR="000826FD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Faza Rozruchu i Odbioru:</w:t>
      </w:r>
      <w:r>
        <w:rPr>
          <w:rFonts w:ascii="Google Sans Text" w:eastAsia="Google Sans Text" w:hAnsi="Google Sans Text" w:cs="Google Sans Text"/>
          <w:color w:val="1B1C1D"/>
        </w:rPr>
        <w:t xml:space="preserve"> Rozruch technologiczny ("zimny") i biotechnologiczny ("ciepły"), odbiory techniczne, uzyskanie Pozwolenia na Użytkowanie (PnU).</w:t>
      </w:r>
    </w:p>
    <w:p w14:paraId="2139E834" w14:textId="266E2B07" w:rsidR="000826FD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Faza Eksploatacji:</w:t>
      </w:r>
      <w:r>
        <w:rPr>
          <w:rFonts w:ascii="Google Sans Text" w:eastAsia="Google Sans Text" w:hAnsi="Google Sans Text" w:cs="Google Sans Text"/>
          <w:color w:val="1B1C1D"/>
        </w:rPr>
        <w:t xml:space="preserve"> Wpis do rejestru wytwórców, spełnianie bieżących obowiązków formalno-prawnych.</w:t>
      </w:r>
    </w:p>
    <w:p w14:paraId="458DCEC2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5. Faza Koncepcyjna: Pomysł i Analiza (1/3)</w:t>
      </w:r>
    </w:p>
    <w:p w14:paraId="6C41C755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Pomysł i wstępna analiza:</w:t>
      </w:r>
    </w:p>
    <w:p w14:paraId="3289066F" w14:textId="1E717FC7" w:rsidR="000826FD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Określenie motywacji: np. zagospodarowanie gnojowicy, dywersyfikacja dochodów, dostęp do taniej energii.</w:t>
      </w:r>
    </w:p>
    <w:p w14:paraId="4DC8A238" w14:textId="4B0454D9" w:rsidR="000826FD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Ocena dostępności podstawowych, stabilnych substratów - to fundament biogazowni, musi być zapewniony na lata.</w:t>
      </w:r>
    </w:p>
    <w:p w14:paraId="25042CA4" w14:textId="36E68904" w:rsidR="000826FD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Wstępne szacunki skali (moc, przepustowość) i potencjalnych przychodów (sprzedaż energii, ciepła, oszczędności).</w:t>
      </w:r>
    </w:p>
    <w:p w14:paraId="2C315171" w14:textId="29A50BC1" w:rsidR="000826FD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Wstępna analiza opłacalności: Szacunek głównych kosztów inwestycyjnych (CAPEX) i operacyjnych (OPEX) w relacji do przychodów.</w:t>
      </w:r>
    </w:p>
    <w:p w14:paraId="7B0E28ED" w14:textId="4A297D41" w:rsidR="000826FD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Wstępna analiza ryzyka (technologicznego, rynkowego, formalno-prawnego, społecznego).</w:t>
      </w:r>
    </w:p>
    <w:p w14:paraId="6944F3DF" w14:textId="77777777" w:rsidR="000826FD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Szkic projektu / Koncepcja technologiczna:</w:t>
      </w:r>
    </w:p>
    <w:p w14:paraId="154CA1E2" w14:textId="691A4574" w:rsidR="000826FD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Konieczne jest spojrzenie na projekt jako całościowy system - od pozyskania surowca po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zagospodarowanie produktu końcowego (pofermentu).</w:t>
      </w:r>
    </w:p>
    <w:p w14:paraId="37EB15D9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6. Faza Koncepcyjna: Wybór Lokalizacji (2/3)</w:t>
      </w:r>
    </w:p>
    <w:p w14:paraId="50B1E8E4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Kluczowe kryteria wyboru:</w:t>
      </w:r>
    </w:p>
    <w:p w14:paraId="54406278" w14:textId="124B4E7C" w:rsidR="000826FD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Techniczne:</w:t>
      </w:r>
      <w:r>
        <w:rPr>
          <w:rFonts w:ascii="Google Sans Text" w:eastAsia="Google Sans Text" w:hAnsi="Google Sans Text" w:cs="Google Sans Text"/>
          <w:color w:val="1B1C1D"/>
        </w:rPr>
        <w:t xml:space="preserve"> Wielkość działki (min. 1.5-2.5 ha dla 0.5-1 MWe), jej kształt, ukształtowanie terenu, nośność gruntu (konieczne wstępne rozpoznanie geotechniczne), dostęp do mediów (woda, kanalizacja), krytyczna bliskość sieci elektroenergetycznej o odpowiedniej mocy przyłączeniowej.</w:t>
      </w:r>
    </w:p>
    <w:p w14:paraId="450E8829" w14:textId="3FAC2A67" w:rsidR="000826FD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Logistyczne:</w:t>
      </w:r>
      <w:r>
        <w:rPr>
          <w:rFonts w:ascii="Google Sans Text" w:eastAsia="Google Sans Text" w:hAnsi="Google Sans Text" w:cs="Google Sans Text"/>
          <w:color w:val="1B1C1D"/>
        </w:rPr>
        <w:t xml:space="preserve"> Bliskość głównych źródeł substratów (optymalny promień zasilania &lt;15-20 km), jakość dróg dojazdowych (nośność, przejezdność dla ciężkiego transportu), bliskość pól pod aplikację pofermentu.</w:t>
      </w:r>
    </w:p>
    <w:p w14:paraId="598A5C51" w14:textId="73B061B3" w:rsidR="000826FD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Środowiskowe:</w:t>
      </w:r>
      <w:r>
        <w:rPr>
          <w:rFonts w:ascii="Google Sans Text" w:eastAsia="Google Sans Text" w:hAnsi="Google Sans Text" w:cs="Google Sans Text"/>
          <w:color w:val="1B1C1D"/>
        </w:rPr>
        <w:t xml:space="preserve"> Odpowiednia odległość od zabudowy mieszkalnej (minimum 500m jako punkt wyjścia, często więcej), odległość od obszarów chronionych (Natura 2000, parki, rezerwaty), stref ochrony ujęć wody, analiza dominujących kierunków wiatrów (róża wiatrów).</w:t>
      </w:r>
    </w:p>
    <w:p w14:paraId="2C047DF2" w14:textId="42FCC377" w:rsidR="000826FD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Społeczne i Planistyczne:</w:t>
      </w:r>
      <w:r>
        <w:rPr>
          <w:rFonts w:ascii="Google Sans Text" w:eastAsia="Google Sans Text" w:hAnsi="Google Sans Text" w:cs="Google Sans Text"/>
          <w:color w:val="1B1C1D"/>
        </w:rPr>
        <w:t xml:space="preserve"> Wstępna ocena potencjalnej akceptacji społeczności lokalnej, sprawdzenie zapisów MPZP lub studium uwarunkowań, zabezpieczenie tytułu prawnego do gruntu (własność, dzierżawa wieloletnia).</w:t>
      </w:r>
    </w:p>
    <w:p w14:paraId="436083AE" w14:textId="61C89CD5" w:rsidR="000826F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Ważne:</w:t>
      </w:r>
      <w:r>
        <w:rPr>
          <w:rFonts w:ascii="Google Sans Text" w:eastAsia="Google Sans Text" w:hAnsi="Google Sans Text" w:cs="Google Sans Text"/>
          <w:color w:val="1B1C1D"/>
        </w:rPr>
        <w:t xml:space="preserve"> Wczesny, nieformalny kontakt z urzędem gminy w celu zorientowania się w lokalnych uwarunkowaniach i planach.</w:t>
      </w:r>
    </w:p>
    <w:p w14:paraId="68A89116" w14:textId="77777777" w:rsidR="000826FD" w:rsidRDefault="00000000">
      <w:pPr>
        <w:pStyle w:val="Nagwek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7. Faza Koncepcyjna: Zabezpieczenie Substratów (3/3)</w:t>
      </w:r>
    </w:p>
    <w:p w14:paraId="25D2E1E5" w14:textId="5A6AA7DE" w:rsidR="000826FD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Potwierdzenie długoterminowej dostępności kluczowych substratów w wymaganej ilości i jakości (parametry: s.m., s.m.o., potencjał metanowy, C:N, ryzyko inhibitorów).</w:t>
      </w:r>
    </w:p>
    <w:p w14:paraId="2630CD0F" w14:textId="3D5429B1" w:rsidR="000826FD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Zabezpieczenie dostaw poprzez wstępne umowy lub listy intencyjne z dostawcami (np. rolnikami, zakładami przetwórczymi).</w:t>
      </w:r>
    </w:p>
    <w:p w14:paraId="39377B23" w14:textId="793C8261" w:rsidR="000826FD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Analiza stabilności cen substratów pozyskiwanych z rynku.</w:t>
      </w:r>
    </w:p>
    <w:p w14:paraId="207BBA85" w14:textId="2BEEB59B" w:rsidR="000826FD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Planowanie logistyki magazynowania – oszacowanie wymaganej pojemności i powierzchni silosów na kiszonki oraz zbiorników na substraty płynne.</w:t>
      </w:r>
    </w:p>
    <w:p w14:paraId="45AF3AC3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8. Faza Przygotowawcza: DUŚ - </w:t>
      </w:r>
      <w:r>
        <w:rPr>
          <w:rFonts w:ascii="Google Sans" w:eastAsia="Google Sans" w:hAnsi="Google Sans" w:cs="Google Sans"/>
          <w:color w:val="1B1C1D"/>
        </w:rPr>
        <w:lastRenderedPageBreak/>
        <w:t>Wprowadzenie (1/6)</w:t>
      </w:r>
    </w:p>
    <w:p w14:paraId="6E6E1863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Decyzja o Środowiskowych Uwarunkowaniach (DUŚ):</w:t>
      </w:r>
    </w:p>
    <w:p w14:paraId="10AA8E18" w14:textId="5C48B06B" w:rsidR="000826FD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Jedna z pierwszych i kluczowych decyzji administracyjnych w procesie inwestycyjnym.</w:t>
      </w:r>
    </w:p>
    <w:p w14:paraId="7A19F992" w14:textId="42849CA2" w:rsidR="000826FD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Jest to warunek konieczny do uzyskania decyzji o warunkach zabudowy (WZ) lub pozwolenia na budowę (PnB).</w:t>
      </w:r>
    </w:p>
    <w:p w14:paraId="5188417C" w14:textId="599E60E7" w:rsidR="000826FD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Procedura wydania DUŚ zależy od kwalifikacji przedsięwzięcia jako mogącego znacząco lub potencjalnie znacząco oddziaływać na środowisko.</w:t>
      </w:r>
    </w:p>
    <w:p w14:paraId="73451E2A" w14:textId="63381449" w:rsidR="000826FD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Kwalifikację określa Rozporządzenie Rady Ministrów ws. przedsięwzięć mogących znacząco oddziaływać na środowisko.</w:t>
      </w:r>
    </w:p>
    <w:p w14:paraId="3DA33595" w14:textId="2D8E35D3" w:rsidR="000826FD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Organem prowadzącym postępowanie jest najczęściej wójt, burmistrz lub prezydent miasta.</w:t>
      </w:r>
    </w:p>
    <w:p w14:paraId="394B6694" w14:textId="55384AB0" w:rsidR="000826FD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 toku postępowania organ zasięga wymaganych opinii, m.in. Regionalnego Dyrektora Ochrony Środowiska (RDOŚ), Państwowej Inspekcji Sanitarnej (Sanepid) oraz Wód Polskich.</w:t>
      </w:r>
    </w:p>
    <w:p w14:paraId="1CAB0041" w14:textId="73069CC1" w:rsidR="000826FD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Realny czas trwania procedury uzyskania DUŚ to często </w:t>
      </w:r>
      <w:r>
        <w:rPr>
          <w:rFonts w:ascii="Google Sans Text" w:eastAsia="Google Sans Text" w:hAnsi="Google Sans Text" w:cs="Google Sans Text"/>
          <w:b/>
          <w:color w:val="1B1C1D"/>
        </w:rPr>
        <w:t>6-18 miesięcy</w:t>
      </w:r>
      <w:r>
        <w:rPr>
          <w:rFonts w:ascii="Google Sans Text" w:eastAsia="Google Sans Text" w:hAnsi="Google Sans Text" w:cs="Google Sans Text"/>
          <w:color w:val="1B1C1D"/>
        </w:rPr>
        <w:t>, a w skomplikowanych przypadkach nawet dłużej.</w:t>
      </w:r>
    </w:p>
    <w:p w14:paraId="673571D6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9. Faza Przygotowawcza: DUŚ - KIP vs Raport OOŚ (2/6)</w:t>
      </w:r>
    </w:p>
    <w:p w14:paraId="085D0FBD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Karta Informacyjna Przedsięwzięcia (KIP):</w:t>
      </w:r>
    </w:p>
    <w:p w14:paraId="753175D6" w14:textId="3F2AFDF5" w:rsidR="000826FD" w:rsidRDefault="00000000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Składana dla przedsięwzięć </w:t>
      </w:r>
      <w:r>
        <w:rPr>
          <w:rFonts w:ascii="Google Sans Text" w:eastAsia="Google Sans Text" w:hAnsi="Google Sans Text" w:cs="Google Sans Text"/>
          <w:b/>
          <w:color w:val="1B1C1D"/>
        </w:rPr>
        <w:t>potencjalnie</w:t>
      </w:r>
      <w:r>
        <w:rPr>
          <w:rFonts w:ascii="Google Sans Text" w:eastAsia="Google Sans Text" w:hAnsi="Google Sans Text" w:cs="Google Sans Text"/>
          <w:color w:val="1B1C1D"/>
        </w:rPr>
        <w:t xml:space="preserve"> znacząco oddziałujących na środowisko.</w:t>
      </w:r>
    </w:p>
    <w:p w14:paraId="05828B15" w14:textId="7FA8B390" w:rsidR="000826FD" w:rsidRDefault="00000000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Jest to dokument o mniejszym zakresie niż Raport OOŚ, na podstawie którego organ administracji (po zasięgnięciu opinii RDOŚ, Sanepidu, Wód Polskich) decyduje, czy przeprowadzenie pełnej oceny oddziaływania na środowisko (OOŚ) jest konieczne.</w:t>
      </w:r>
    </w:p>
    <w:p w14:paraId="7C1E4D50" w14:textId="77777777" w:rsidR="000826FD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Raport o Oddziaływaniu na Środowisko (Raport OOŚ):</w:t>
      </w:r>
    </w:p>
    <w:p w14:paraId="3188E81B" w14:textId="7CDB3C41" w:rsidR="000826FD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Wymagany </w:t>
      </w:r>
      <w:r>
        <w:rPr>
          <w:rFonts w:ascii="Google Sans Text" w:eastAsia="Google Sans Text" w:hAnsi="Google Sans Text" w:cs="Google Sans Text"/>
          <w:b/>
          <w:color w:val="1B1C1D"/>
        </w:rPr>
        <w:t>obligatoryjnie</w:t>
      </w:r>
      <w:r>
        <w:rPr>
          <w:rFonts w:ascii="Google Sans Text" w:eastAsia="Google Sans Text" w:hAnsi="Google Sans Text" w:cs="Google Sans Text"/>
          <w:color w:val="1B1C1D"/>
        </w:rPr>
        <w:t xml:space="preserve"> dla przedsięwzięć </w:t>
      </w:r>
      <w:r>
        <w:rPr>
          <w:rFonts w:ascii="Google Sans Text" w:eastAsia="Google Sans Text" w:hAnsi="Google Sans Text" w:cs="Google Sans Text"/>
          <w:b/>
          <w:color w:val="1B1C1D"/>
        </w:rPr>
        <w:t>zawsze</w:t>
      </w:r>
      <w:r>
        <w:rPr>
          <w:rFonts w:ascii="Google Sans Text" w:eastAsia="Google Sans Text" w:hAnsi="Google Sans Text" w:cs="Google Sans Text"/>
          <w:color w:val="1B1C1D"/>
        </w:rPr>
        <w:t xml:space="preserve"> znacząco oddziałujących na środowisko.</w:t>
      </w:r>
    </w:p>
    <w:p w14:paraId="6C3D18F7" w14:textId="6ACB6282" w:rsidR="000826FD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Wymagany również, gdy organ tak postanowi po analizie KIP dla przedsięwzięcia potencjalnie znacząco oddziałującego.</w:t>
      </w:r>
    </w:p>
    <w:p w14:paraId="7EF3AEAB" w14:textId="2B6BAB54" w:rsidR="000826FD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Procedura związana z Raportem OOŚ (pełna Ocena Oddziaływania na Środowisko) jest bardziej złożona i czasochłonna niż procedura oparta tylko na KIP.</w:t>
      </w:r>
    </w:p>
    <w:p w14:paraId="6580C889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10. Faza Przygotowawcza: DUŚ - </w:t>
      </w:r>
      <w:r>
        <w:rPr>
          <w:rFonts w:ascii="Google Sans" w:eastAsia="Google Sans" w:hAnsi="Google Sans" w:cs="Google Sans"/>
          <w:color w:val="1B1C1D"/>
        </w:rPr>
        <w:lastRenderedPageBreak/>
        <w:t>Kluczowe Elementy OOŚ (3/6)</w:t>
      </w:r>
    </w:p>
    <w:p w14:paraId="189A17B3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Pełna Ocena Oddziaływania na Środowisko (OOŚ) obejmuje:</w:t>
      </w:r>
    </w:p>
    <w:p w14:paraId="6A8BDF07" w14:textId="1CA79A98" w:rsidR="000826FD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Szczegółowe analizy oddziaływań</w:t>
      </w:r>
      <w:r>
        <w:rPr>
          <w:rFonts w:ascii="Google Sans Text" w:eastAsia="Google Sans Text" w:hAnsi="Google Sans Text" w:cs="Google Sans Text"/>
          <w:color w:val="1B1C1D"/>
        </w:rPr>
        <w:t xml:space="preserve"> na poszczególne komponenty środowiska: powietrze (w tym odory – modelowanie), hałas (modelowanie), wody powierzchniowe i podziemne, glebę, klimat, bioróżnorodność, krajobraz, zdrowie ludzi, zabytki.</w:t>
      </w:r>
    </w:p>
    <w:p w14:paraId="12F807CE" w14:textId="2D2CF848" w:rsidR="000826FD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Analiza wariantów:</w:t>
      </w:r>
      <w:r>
        <w:rPr>
          <w:rFonts w:ascii="Google Sans Text" w:eastAsia="Google Sans Text" w:hAnsi="Google Sans Text" w:cs="Google Sans Text"/>
          <w:color w:val="1B1C1D"/>
        </w:rPr>
        <w:t xml:space="preserve"> inwestor musi przedstawić i porównać różne racjonalne warianty realizacji przedsięwzięcia (np. lokalizacyjne, technologiczne), wariant alternatywny oraz wariant najkorzystniejszy dla środowiska.</w:t>
      </w:r>
    </w:p>
    <w:p w14:paraId="505031C4" w14:textId="6252F379" w:rsidR="000826FD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Analiza oddziaływań skumulowanych:</w:t>
      </w:r>
      <w:r>
        <w:rPr>
          <w:rFonts w:ascii="Google Sans Text" w:eastAsia="Google Sans Text" w:hAnsi="Google Sans Text" w:cs="Google Sans Text"/>
          <w:color w:val="1B1C1D"/>
        </w:rPr>
        <w:t xml:space="preserve"> uwzględnienie wpływu planowanej inwestycji w połączeniu z innymi istniejącymi lub planowanymi przedsięwzięciami w okolicy.</w:t>
      </w:r>
    </w:p>
    <w:p w14:paraId="2F92146E" w14:textId="3FDDC188" w:rsidR="000826FD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Udział społeczeństwa:</w:t>
      </w:r>
      <w:r>
        <w:rPr>
          <w:rFonts w:ascii="Google Sans Text" w:eastAsia="Google Sans Text" w:hAnsi="Google Sans Text" w:cs="Google Sans Text"/>
          <w:color w:val="1B1C1D"/>
        </w:rPr>
        <w:t xml:space="preserve"> jest obligatoryjnym elementem procedury OOŚ, obejmuje informowanie społeczeństwa, możliwość składania uwag i wniosków oraz (często) publiczną rozprawę administracyjną.</w:t>
      </w:r>
    </w:p>
    <w:p w14:paraId="12268CD7" w14:textId="3F6E7F75" w:rsidR="000826FD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Ryzyko odwołań:</w:t>
      </w:r>
      <w:r>
        <w:rPr>
          <w:rFonts w:ascii="Google Sans Text" w:eastAsia="Google Sans Text" w:hAnsi="Google Sans Text" w:cs="Google Sans Text"/>
          <w:color w:val="1B1C1D"/>
        </w:rPr>
        <w:t xml:space="preserve"> aktywny udział organizacji ekologicznych lub protesty mieszkańców mogą prowadzić do odwołań od decyzji DUŚ, co znacząco wydłuża proces. Dlatego kluczowe są rzetelna dokumentacja i transparentny dialog społeczny.</w:t>
      </w:r>
    </w:p>
    <w:p w14:paraId="6BF5D584" w14:textId="6B739F82" w:rsidR="000826F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Decyzja DUŚ określa wiążące warunki realizacji i eksploatacji (np. środki minimalizujące oddziaływania, monitoring), które muszą być uwzględnione w kolejnych decyzjach (WZ, PnB).</w:t>
      </w:r>
    </w:p>
    <w:p w14:paraId="510D18BF" w14:textId="77777777" w:rsidR="000826FD" w:rsidRDefault="00000000">
      <w:pPr>
        <w:pStyle w:val="Nagwek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11. Faza Przygotowawcza: Lokalizacja - MPZP vs WZ (4/6)</w:t>
      </w:r>
    </w:p>
    <w:p w14:paraId="7E7B3186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MPZP (Miejscowy Plan Zagospodarowania Przestrzennego):</w:t>
      </w:r>
    </w:p>
    <w:p w14:paraId="5727CF39" w14:textId="605B79BF" w:rsidR="000826FD" w:rsidRDefault="00000000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Jest to </w:t>
      </w:r>
      <w:r>
        <w:rPr>
          <w:rFonts w:ascii="Google Sans Text" w:eastAsia="Google Sans Text" w:hAnsi="Google Sans Text" w:cs="Google Sans Text"/>
          <w:b/>
          <w:color w:val="1B1C1D"/>
        </w:rPr>
        <w:t>preferowana sytuacja</w:t>
      </w:r>
      <w:r>
        <w:rPr>
          <w:rFonts w:ascii="Google Sans Text" w:eastAsia="Google Sans Text" w:hAnsi="Google Sans Text" w:cs="Google Sans Text"/>
          <w:color w:val="1B1C1D"/>
        </w:rPr>
        <w:t xml:space="preserve"> dla inwestora, dająca większą pewność prawną i przewidywalność.</w:t>
      </w:r>
    </w:p>
    <w:p w14:paraId="2D45AD20" w14:textId="6538E893" w:rsidR="000826FD" w:rsidRDefault="00000000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Konieczne jest dokładne sprawdzenie, czy projekt jest zgodny z ustaleniami planu (przeznaczenie terenu, dopuszczalne parametry zabudowy, linie zabudowy, wysokość itp.).</w:t>
      </w:r>
    </w:p>
    <w:p w14:paraId="650F8249" w14:textId="2C8976C4" w:rsidR="000826FD" w:rsidRDefault="00000000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Ustawa o ułatwieniach (Art. 6 ust. 1) wprowadza </w:t>
      </w:r>
      <w:r>
        <w:rPr>
          <w:rFonts w:ascii="Google Sans Text" w:eastAsia="Google Sans Text" w:hAnsi="Google Sans Text" w:cs="Google Sans Text"/>
          <w:b/>
          <w:color w:val="1B1C1D"/>
        </w:rPr>
        <w:t>domniemanie zgodności</w:t>
      </w:r>
      <w:r>
        <w:rPr>
          <w:rFonts w:ascii="Google Sans Text" w:eastAsia="Google Sans Text" w:hAnsi="Google Sans Text" w:cs="Google Sans Text"/>
          <w:color w:val="1B1C1D"/>
        </w:rPr>
        <w:t xml:space="preserve"> dla mniejszych biogazowni rolniczych na terenach rolnych/produkcyjnych, o ile plan wyraźnie tego nie zakazuje. Należy jednak dokładnie weryfikować zapisy konkretnego MPZP. Ułatwienie to ma swoje ograniczenia (moc, podmiot - Art. 6 ust. 3).</w:t>
      </w:r>
    </w:p>
    <w:p w14:paraId="1F06064F" w14:textId="77777777" w:rsidR="000826FD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WZ (Decyzja o Warunkach Zabudowy):</w:t>
      </w:r>
    </w:p>
    <w:p w14:paraId="452CCBBB" w14:textId="10DE1D17" w:rsidR="000826FD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Konieczna w przypadku </w:t>
      </w:r>
      <w:r>
        <w:rPr>
          <w:rFonts w:ascii="Google Sans Text" w:eastAsia="Google Sans Text" w:hAnsi="Google Sans Text" w:cs="Google Sans Text"/>
          <w:b/>
          <w:color w:val="1B1C1D"/>
        </w:rPr>
        <w:t>braku MPZP</w:t>
      </w:r>
      <w:r>
        <w:rPr>
          <w:rFonts w:ascii="Google Sans Text" w:eastAsia="Google Sans Text" w:hAnsi="Google Sans Text" w:cs="Google Sans Text"/>
          <w:color w:val="1B1C1D"/>
        </w:rPr>
        <w:t xml:space="preserve"> dla danego terenu.</w:t>
      </w:r>
    </w:p>
    <w:p w14:paraId="6290A643" w14:textId="407A486E" w:rsidR="000826FD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Wydanie WZ wymaga spełnienia szeregu warunków, w tym tzw. zasady 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"dobrego </w:t>
      </w:r>
      <w:r>
        <w:rPr>
          <w:rFonts w:ascii="Google Sans Text" w:eastAsia="Google Sans Text" w:hAnsi="Google Sans Text" w:cs="Google Sans Text"/>
          <w:b/>
          <w:color w:val="1B1C1D"/>
        </w:rPr>
        <w:lastRenderedPageBreak/>
        <w:t>sąsiedztwa"</w:t>
      </w:r>
      <w:r>
        <w:rPr>
          <w:rFonts w:ascii="Google Sans Text" w:eastAsia="Google Sans Text" w:hAnsi="Google Sans Text" w:cs="Google Sans Text"/>
          <w:color w:val="1B1C1D"/>
        </w:rPr>
        <w:t xml:space="preserve"> (analiza funkcji i parametrów zabudowy na działkach sąsiednich), dostępu do drogi publicznej, wystarczającego uzbrojenia terenu oraz zgodności z przepisami odrębnymi.</w:t>
      </w:r>
    </w:p>
    <w:p w14:paraId="624756AB" w14:textId="18E33579" w:rsidR="000826FD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Procedura uzyskania WZ jest często dłuższa, bardziej niepewna i bardziej narażona na protesty sąsiadów niż realizacja na podstawie MPZP. Ustawa o ułatwieniach przyspiesza wydanie WZ (do 65 dni dla mniejszych instalacji) i ogranicza krąg stron postępowania, co ma na celu usprawnienie procesu.</w:t>
      </w:r>
    </w:p>
    <w:p w14:paraId="65D4C166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12. Faza Przygotowawcza: Lokalizacja Tymczasowa (Ustawa 2023) (5/6)</w:t>
      </w:r>
    </w:p>
    <w:p w14:paraId="2E0C59BF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Specjalna uchwała lokalizacyjna (Art. 19-22 Ustawy o ułatwieniach):</w:t>
      </w:r>
    </w:p>
    <w:p w14:paraId="2ADBB93F" w14:textId="136A2BFB" w:rsidR="000826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Przeznaczona dla </w:t>
      </w:r>
      <w:r>
        <w:rPr>
          <w:rFonts w:ascii="Google Sans Text" w:eastAsia="Google Sans Text" w:hAnsi="Google Sans Text" w:cs="Google Sans Text"/>
          <w:b/>
          <w:color w:val="1B1C1D"/>
        </w:rPr>
        <w:t>większych</w:t>
      </w:r>
      <w:r>
        <w:rPr>
          <w:rFonts w:ascii="Google Sans Text" w:eastAsia="Google Sans Text" w:hAnsi="Google Sans Text" w:cs="Google Sans Text"/>
          <w:color w:val="1B1C1D"/>
        </w:rPr>
        <w:t xml:space="preserve"> biogazowni rolniczych (przekraczających progi mocy/wydajności z art. 6 ust. 3 lub art. 23 ustawy).</w:t>
      </w:r>
    </w:p>
    <w:p w14:paraId="4A5E7CF4" w14:textId="01075AD8" w:rsidR="000826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Jest to rozwiązanie </w:t>
      </w:r>
      <w:r>
        <w:rPr>
          <w:rFonts w:ascii="Google Sans Text" w:eastAsia="Google Sans Text" w:hAnsi="Google Sans Text" w:cs="Google Sans Text"/>
          <w:b/>
          <w:color w:val="1B1C1D"/>
        </w:rPr>
        <w:t>tymczasowe</w:t>
      </w:r>
      <w:r>
        <w:rPr>
          <w:rFonts w:ascii="Google Sans Text" w:eastAsia="Google Sans Text" w:hAnsi="Google Sans Text" w:cs="Google Sans Text"/>
          <w:color w:val="1B1C1D"/>
        </w:rPr>
        <w:t>, dostępne do 31 grudnia 2025 r.</w:t>
      </w:r>
    </w:p>
    <w:p w14:paraId="25EC7907" w14:textId="1165CFED" w:rsidR="000826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Umożliwia lokalizację inwestycji niezależnie od istnienia lub ustaleń MPZP, pod warunkiem, że nie jest sprzeczna ze studium uwarunkowań i kierunków zagospodarowania przestrzennego gminy (Art. 19 ust. 4). Warunek niesprzeczności ze studium jest spełniony dla terenów o kierunku zabudowy rolniczej lub produkcyjnej (Art. 19 ust. 5).</w:t>
      </w:r>
    </w:p>
    <w:p w14:paraId="7BEBD9F4" w14:textId="72484558" w:rsidR="000826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Procedura wymaga złożenia przez inwestora wniosku do rady gminy za pośrednictwem wójta/burmistrza/prezydenta (Art. 20 ust. 1) (67). Wniosek musi zawierać szczegółowe informacje, m.in. mapy, parametry instalacji, charakterystykę, analizę uzbrojenia terenu (Art. 20 ust. 6).</w:t>
      </w:r>
    </w:p>
    <w:p w14:paraId="221572BC" w14:textId="5A0C1EF2" w:rsidR="000826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 toku procedury wójt/burmistrz/prezydent zasięga opinii (np. komisji urbanistycznej, RDOŚ, Sanepidu, PSP) oraz dokonuje uzgodnień (np. z konserwatorem zabytków, zarządcą drogi) (Art. 20 ust. 12, ust. 14).</w:t>
      </w:r>
    </w:p>
    <w:p w14:paraId="2BDF4AF9" w14:textId="203BAAC0" w:rsidR="000826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Rada gminy ma </w:t>
      </w:r>
      <w:r>
        <w:rPr>
          <w:rFonts w:ascii="Google Sans Text" w:eastAsia="Google Sans Text" w:hAnsi="Google Sans Text" w:cs="Google Sans Text"/>
          <w:b/>
          <w:color w:val="1B1C1D"/>
        </w:rPr>
        <w:t>60 dni</w:t>
      </w:r>
      <w:r>
        <w:rPr>
          <w:rFonts w:ascii="Google Sans Text" w:eastAsia="Google Sans Text" w:hAnsi="Google Sans Text" w:cs="Google Sans Text"/>
          <w:color w:val="1B1C1D"/>
        </w:rPr>
        <w:t xml:space="preserve"> (z możliwością przedłużenia o 30 dni) na podjęcie uchwały o ustaleniu lokalizacji lub odmowie (Art. 20 ust. 4, ust. 5).</w:t>
      </w:r>
    </w:p>
    <w:p w14:paraId="304C0089" w14:textId="49B713B8" w:rsidR="000826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Uchwała o ustaleniu lokalizacji wiąże organ wydający pozwolenie na budowę (Art. 22 ust. 1), ale wygasa po 3 latach, jeśli PnB nie stanie się w tym czasie ostateczne (Art. 21 ust. 3).</w:t>
      </w:r>
    </w:p>
    <w:p w14:paraId="6EBD4595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13. Faza Przygotowawcza: Warunki Przyłączenia (6/6)</w:t>
      </w:r>
    </w:p>
    <w:p w14:paraId="6E235FB6" w14:textId="4FDAED66" w:rsidR="000826F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Uzyskanie warunków przyłączenia do sieci (elektroenergetycznej lub gazowej) jest kluczowe dla rentowności projektu.</w:t>
      </w:r>
    </w:p>
    <w:p w14:paraId="5E1BA940" w14:textId="30620268" w:rsidR="000826F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Należy złożyć formalny wniosek do odpowiedniego operatora sieci: </w:t>
      </w:r>
      <w:r>
        <w:rPr>
          <w:rFonts w:ascii="Google Sans Text" w:eastAsia="Google Sans Text" w:hAnsi="Google Sans Text" w:cs="Google Sans Text"/>
          <w:b/>
          <w:color w:val="1B1C1D"/>
        </w:rPr>
        <w:t>OSD</w:t>
      </w:r>
      <w:r>
        <w:rPr>
          <w:rFonts w:ascii="Google Sans Text" w:eastAsia="Google Sans Text" w:hAnsi="Google Sans Text" w:cs="Google Sans Text"/>
          <w:color w:val="1B1C1D"/>
        </w:rPr>
        <w:t xml:space="preserve"> (Operator </w:t>
      </w: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Systemu Dystrybucyjnego - dla energii elektrycznej) lub </w:t>
      </w:r>
      <w:r>
        <w:rPr>
          <w:rFonts w:ascii="Google Sans Text" w:eastAsia="Google Sans Text" w:hAnsi="Google Sans Text" w:cs="Google Sans Text"/>
          <w:b/>
          <w:color w:val="1B1C1D"/>
        </w:rPr>
        <w:t>OSG</w:t>
      </w:r>
      <w:r>
        <w:rPr>
          <w:rFonts w:ascii="Google Sans Text" w:eastAsia="Google Sans Text" w:hAnsi="Google Sans Text" w:cs="Google Sans Text"/>
          <w:color w:val="1B1C1D"/>
        </w:rPr>
        <w:t xml:space="preserve"> (Operator Systemu Gazowego - dla biometanu).</w:t>
      </w:r>
    </w:p>
    <w:p w14:paraId="6638D7E3" w14:textId="00F7315A" w:rsidR="000826F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Wydane przez operatora warunki przyłączenia określają techniczne i ekonomiczne aspekty podłączenia instalacji do sieci (m.in. miejsce przyłączenia, zakres niezbędnych prac modernizacyjnych lub rozbudowy sieci, koszty, terminy).</w:t>
      </w:r>
    </w:p>
    <w:p w14:paraId="2DBEFEED" w14:textId="702451B6" w:rsidR="000826F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Częstymi barierami dla inwestorów OZE są: brak wystarczającej mocy przyłączeniowej w danym punkcie sieci elektroenergetycznej lub wysokie koszty rozbudowy sieci konieczne do przyłączenia instalacji, które obciążają inwestora.</w:t>
      </w:r>
    </w:p>
    <w:p w14:paraId="13468D50" w14:textId="5E01E764" w:rsidR="000826F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Ustawa o ułatwieniach wprowadza przyspieszenie procedury dla przyłączenia do sieci elektroenergetycznej biogazowni rolniczych o mocy do 2 MWe, skracając termin dla OSD na wydanie warunków do </w:t>
      </w:r>
      <w:r>
        <w:rPr>
          <w:rFonts w:ascii="Google Sans Text" w:eastAsia="Google Sans Text" w:hAnsi="Google Sans Text" w:cs="Google Sans Text"/>
          <w:b/>
          <w:color w:val="1B1C1D"/>
        </w:rPr>
        <w:t>90 dni</w:t>
      </w:r>
      <w:r>
        <w:rPr>
          <w:rFonts w:ascii="Google Sans Text" w:eastAsia="Google Sans Text" w:hAnsi="Google Sans Text" w:cs="Google Sans Text"/>
          <w:color w:val="1B1C1D"/>
        </w:rPr>
        <w:t xml:space="preserve"> (Art. 11 pkt 1 lit. a ustawy).</w:t>
      </w:r>
    </w:p>
    <w:p w14:paraId="14A7E6EB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14. Faza Przygotowawcza: Projekt Budowlany i PnB</w:t>
      </w:r>
    </w:p>
    <w:p w14:paraId="08528956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Projekt Budowlany:</w:t>
      </w:r>
    </w:p>
    <w:p w14:paraId="616B520D" w14:textId="6192E1E0" w:rsidR="000826F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Jest opracowywany przez uprawnionych projektantów na podstawie uzyskanych wcześniej decyzji: DUŚ, WZ (lub wypisu z MPZP lub uchwały lokalizacyjnej) oraz warunków przyłączenia do sieci.</w:t>
      </w:r>
    </w:p>
    <w:p w14:paraId="6D37A432" w14:textId="31F5616B" w:rsidR="000826F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Musi być zgodny z obowiązującymi przepisami, w tym Prawem budowlanym, warunkami technicznymi, jakim powinny odpowiadać budynki i ich usytuowanie, przepisami przeciwpożarowymi, sanitarnymi itp. Musi również zawierać wymagane uzgodnienia (np. z rzeczoznawcami ds. ppoż., higieniczno-sanitarnymi).</w:t>
      </w:r>
    </w:p>
    <w:p w14:paraId="0AA30C73" w14:textId="6892F5AB" w:rsidR="000826F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Zgodnie z nowelizacją Prawa budowlanego, projekt budowlany składa się z trzech części: projektu zagospodarowania działki lub terenu, projektu architektoniczno-budowlanego oraz projektu technicznego. Do wniosku o PnB dołącza się pierwsze dwie części.</w:t>
      </w:r>
    </w:p>
    <w:p w14:paraId="2C215C0A" w14:textId="77777777" w:rsidR="000826FD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Pozwolenie na Budowę (PnB):</w:t>
      </w:r>
    </w:p>
    <w:p w14:paraId="16D4B152" w14:textId="2B86CD14" w:rsidR="000826F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Jest to decyzja administracyjna wydawana przez </w:t>
      </w:r>
      <w:r>
        <w:rPr>
          <w:rFonts w:ascii="Google Sans Text" w:eastAsia="Google Sans Text" w:hAnsi="Google Sans Text" w:cs="Google Sans Text"/>
          <w:b/>
          <w:color w:val="1B1C1D"/>
        </w:rPr>
        <w:t>starostę</w:t>
      </w:r>
      <w:r>
        <w:rPr>
          <w:rFonts w:ascii="Google Sans Text" w:eastAsia="Google Sans Text" w:hAnsi="Google Sans Text" w:cs="Google Sans Text"/>
          <w:color w:val="1B1C1D"/>
        </w:rPr>
        <w:t xml:space="preserve"> (lub prezydenta miasta na prawach powiatu), zatwierdzająca projekt budowlany i uprawniająca do rozpoczęcia robót budowlanych.</w:t>
      </w:r>
    </w:p>
    <w:p w14:paraId="78A3476A" w14:textId="4659C1CF" w:rsidR="000826F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Ustawa o ułatwieniach skraca ustawowy termin na rozpatrzenie wniosku o PnB dla biogazowni rolniczych (spełniających warunki art. 4 ust. 1) do </w:t>
      </w:r>
      <w:r>
        <w:rPr>
          <w:rFonts w:ascii="Google Sans Text" w:eastAsia="Google Sans Text" w:hAnsi="Google Sans Text" w:cs="Google Sans Text"/>
          <w:b/>
          <w:color w:val="1B1C1D"/>
        </w:rPr>
        <w:t>65 dni</w:t>
      </w:r>
      <w:r>
        <w:rPr>
          <w:rFonts w:ascii="Google Sans Text" w:eastAsia="Google Sans Text" w:hAnsi="Google Sans Text" w:cs="Google Sans Text"/>
          <w:color w:val="1B1C1D"/>
        </w:rPr>
        <w:t xml:space="preserve"> (Art. 9 ustawy).</w:t>
      </w:r>
    </w:p>
    <w:p w14:paraId="2AF7A94A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15. Faza Realizacji: Budowa i Montaż</w:t>
      </w:r>
    </w:p>
    <w:p w14:paraId="7A26586B" w14:textId="0A9D3AF0" w:rsidR="000826F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Prowadzenie robót budowlanych musi odbywać się ściśle zgodnie z zatwierdzonym projektem budowlanym i uzyskanym pozwoleniem na budowę.</w:t>
      </w:r>
    </w:p>
    <w:p w14:paraId="2C1AE73A" w14:textId="0FEAE3E0" w:rsidR="000826F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Ważny jest wybór doświadczonego wykonawcy (lub wykonawców) oraz zawarcie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precyzyjnej umowy określającej zakres prac, terminy, wynagrodzenie i gwarancje (np. umowa typu EPC - "projektuj i buduj", "pod klucz", lub system zleceń cząstkowych dla poszczególnych branż).</w:t>
      </w:r>
    </w:p>
    <w:p w14:paraId="1F255458" w14:textId="1A9C4543" w:rsidR="000826F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Konieczne jest zapewnienie profesjonalnego nadzoru nad realizacją: </w:t>
      </w:r>
      <w:r>
        <w:rPr>
          <w:rFonts w:ascii="Google Sans Text" w:eastAsia="Google Sans Text" w:hAnsi="Google Sans Text" w:cs="Google Sans Text"/>
          <w:b/>
          <w:color w:val="1B1C1D"/>
        </w:rPr>
        <w:t>nadzór inwestorski</w:t>
      </w:r>
      <w:r>
        <w:rPr>
          <w:rFonts w:ascii="Google Sans Text" w:eastAsia="Google Sans Text" w:hAnsi="Google Sans Text" w:cs="Google Sans Text"/>
          <w:color w:val="1B1C1D"/>
        </w:rPr>
        <w:t xml:space="preserve"> (reprezentujący inwestora) i </w:t>
      </w:r>
      <w:r>
        <w:rPr>
          <w:rFonts w:ascii="Google Sans Text" w:eastAsia="Google Sans Text" w:hAnsi="Google Sans Text" w:cs="Google Sans Text"/>
          <w:b/>
          <w:color w:val="1B1C1D"/>
        </w:rPr>
        <w:t>nadzór autorski</w:t>
      </w:r>
      <w:r>
        <w:rPr>
          <w:rFonts w:ascii="Google Sans Text" w:eastAsia="Google Sans Text" w:hAnsi="Google Sans Text" w:cs="Google Sans Text"/>
          <w:color w:val="1B1C1D"/>
        </w:rPr>
        <w:t xml:space="preserve"> (sprawowany przez projektantów), a także prowadzenie dziennika budowy.</w:t>
      </w:r>
    </w:p>
    <w:p w14:paraId="76217740" w14:textId="391697F8" w:rsidR="000826F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Montaż i testy kluczowych komponentów technologicznych (fermentory, mieszadła, pompy, agregat kogeneracyjny (CHP), systemy sterowania itp.) wymagają specjalistycznej wiedzy.</w:t>
      </w:r>
    </w:p>
    <w:p w14:paraId="7CE8D6CB" w14:textId="5CDAD60C" w:rsidR="000826F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Potencjalne wyzwania na etapie budowy:</w:t>
      </w:r>
      <w:r>
        <w:rPr>
          <w:rFonts w:ascii="Google Sans Text" w:eastAsia="Google Sans Text" w:hAnsi="Google Sans Text" w:cs="Google Sans Text"/>
          <w:color w:val="1B1C1D"/>
        </w:rPr>
        <w:t xml:space="preserve"> niekorzystne warunki pogodowe, trudności w koordynacji prac wielu wykonawców, opóźnienia w dostawach materiałów, nieprzewidziane warunki gruntowe, konieczność zapewnienia bezpieczeństwa na placu budowy (BHP).</w:t>
      </w:r>
    </w:p>
    <w:p w14:paraId="0B853664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16. Faza Rozruchu: Technologiczny i Biotechnologiczny</w:t>
      </w:r>
    </w:p>
    <w:p w14:paraId="10844B8F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Rozruch technologiczny ("zimny"):</w:t>
      </w:r>
    </w:p>
    <w:p w14:paraId="3E536D63" w14:textId="3D55F754" w:rsidR="000826FD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Przeprowadza się go po zakończeniu montażu; polega na testach funkcjonalnych poszczególnych urządzeń i systemów bez wprowadzania substratów organicznych (np. testy szczelności zbiorników i rurociągów przy użyciu wody, sprawdzanie działania automatyki, pomp, mieszadeł, systemów bezpieczeństwa).</w:t>
      </w:r>
    </w:p>
    <w:p w14:paraId="219850E6" w14:textId="77777777" w:rsidR="000826FD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Rozruch biotechnologiczny ("ciepły"):</w:t>
      </w:r>
    </w:p>
    <w:p w14:paraId="6B644A8A" w14:textId="2A2790D1" w:rsidR="000826FD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Jest to stopniowe uruchamianie procesu biologicznego fermentacji metanowej. Obejmuje:</w:t>
      </w:r>
    </w:p>
    <w:p w14:paraId="018C78D0" w14:textId="77777777" w:rsidR="000826FD" w:rsidRDefault="0000000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Zaszczepienie fermentora materiałem biologicznym (np. gnojowicą, pofermentem z innej biogazowni).</w:t>
      </w:r>
    </w:p>
    <w:p w14:paraId="05036D9A" w14:textId="77777777" w:rsidR="000826FD" w:rsidRDefault="0000000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Stopniowe podgrzewanie wsadu do temperatury roboczej (mezofilowej lub termofilowej).</w:t>
      </w:r>
    </w:p>
    <w:p w14:paraId="6F905C99" w14:textId="77777777" w:rsidR="000826FD" w:rsidRDefault="0000000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Powolne wprowadzanie i zwiększanie dawki substratów.</w:t>
      </w:r>
    </w:p>
    <w:p w14:paraId="103D5300" w14:textId="341DB796" w:rsidR="000826FD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Ciągłe monitorowanie kluczowych parametrów procesu (temperatura, pH, stężenie lotnych kwasów tłuszczowych - FOS/TAC, skład produkowanego biogazu) aż do osiągnięcia stabilnej fermentacji.</w:t>
      </w:r>
    </w:p>
    <w:p w14:paraId="1BA5F381" w14:textId="089CE669" w:rsidR="000826FD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Ten etap wymaga wiedzy biotechnologicznej i cierpliwości, aby uniknąć problemów takich jak zakwaszenie reaktora czy inhibicja procesu.</w:t>
      </w:r>
    </w:p>
    <w:p w14:paraId="487B60CC" w14:textId="702F0141" w:rsidR="000826FD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Sprzedaż energii w okresie rozruchu:</w:t>
      </w:r>
      <w:r>
        <w:rPr>
          <w:rFonts w:ascii="Google Sans Text" w:eastAsia="Google Sans Text" w:hAnsi="Google Sans Text" w:cs="Google Sans Text"/>
          <w:color w:val="1B1C1D"/>
        </w:rPr>
        <w:t xml:space="preserve"> Ustawa o OZE definiuje rozruch technologiczny (art. 2 pkt 26a) i przewiduje specjalne zasady zakupu energii w tym okresie (maksymalnie przez 90 dni od dnia pierwszego wprowadzenia energii do sieci - art. 41 ust. 10).</w:t>
      </w:r>
    </w:p>
    <w:p w14:paraId="403D5025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17. Faza Odbioru: Pozwolenie na Użytkowanie (PnU)</w:t>
      </w:r>
    </w:p>
    <w:p w14:paraId="0B3873B6" w14:textId="325CA980" w:rsidR="000826FD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Po zakończeniu budowy i rozruchu technologicznego konieczne jest przeprowadzenie </w:t>
      </w:r>
      <w:r>
        <w:rPr>
          <w:rFonts w:ascii="Google Sans Text" w:eastAsia="Google Sans Text" w:hAnsi="Google Sans Text" w:cs="Google Sans Text"/>
          <w:b/>
          <w:color w:val="1B1C1D"/>
        </w:rPr>
        <w:t>odbiorów technicznych</w:t>
      </w:r>
      <w:r>
        <w:rPr>
          <w:rFonts w:ascii="Google Sans Text" w:eastAsia="Google Sans Text" w:hAnsi="Google Sans Text" w:cs="Google Sans Text"/>
          <w:color w:val="1B1C1D"/>
        </w:rPr>
        <w:t xml:space="preserve"> przez uprawnione instytucje (np. Urząd Dozoru Technicznego - UDT dla zbiorników ciśnieniowych, Państwowa Straż Pożarna - PSP, Państwowa Inspekcja Sanitarna - Sanepid).</w:t>
      </w:r>
    </w:p>
    <w:p w14:paraId="0FBBBF8C" w14:textId="56A16E97" w:rsidR="000826FD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Niezbędne jest wykonanie geodezyjnej inwentaryzacji powykonawczej obiektu.</w:t>
      </w:r>
    </w:p>
    <w:p w14:paraId="30B01AB4" w14:textId="2B0097E2" w:rsidR="000826FD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Inwestor składa </w:t>
      </w:r>
      <w:r>
        <w:rPr>
          <w:rFonts w:ascii="Google Sans Text" w:eastAsia="Google Sans Text" w:hAnsi="Google Sans Text" w:cs="Google Sans Text"/>
          <w:b/>
          <w:color w:val="1B1C1D"/>
        </w:rPr>
        <w:t>zawiadomienie o zakończeniu budowy</w:t>
      </w:r>
      <w:r>
        <w:rPr>
          <w:rFonts w:ascii="Google Sans Text" w:eastAsia="Google Sans Text" w:hAnsi="Google Sans Text" w:cs="Google Sans Text"/>
          <w:color w:val="1B1C1D"/>
        </w:rPr>
        <w:t xml:space="preserve"> do właściwego organu nadzoru budowlanego (Powiatowego lub Wojewódzkiego Inspektora Nadzoru Budowlanego - PINB/WINB) lub, w niektórych przypadkach, </w:t>
      </w:r>
      <w:r>
        <w:rPr>
          <w:rFonts w:ascii="Google Sans Text" w:eastAsia="Google Sans Text" w:hAnsi="Google Sans Text" w:cs="Google Sans Text"/>
          <w:b/>
          <w:color w:val="1B1C1D"/>
        </w:rPr>
        <w:t>wniosek o pozwolenie na użytkowanie (PnU)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6EFD31BF" w14:textId="0F0B0BD9" w:rsidR="000826FD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Organ nadzoru budowlanego przeprowadza obowiązkową kontrolę na budowie przed wydaniem PnU (w przypadku wniosku o PnU) lub przed upływem terminu na zgłoszenie sprzeciwu (w przypadku zawiadomienia).</w:t>
      </w:r>
    </w:p>
    <w:p w14:paraId="026A5BBC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18. Faza Eksploatacji: Rejestracja i Bieżące Obowiązki</w:t>
      </w:r>
    </w:p>
    <w:p w14:paraId="454DEBC7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Wpis do rejestru wytwórców:</w:t>
      </w:r>
    </w:p>
    <w:p w14:paraId="595AF8C7" w14:textId="149101A2" w:rsidR="000826FD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Jest konieczny do korzystania z systemów wsparcia dla energii odnawialnej (np. aukcje OZE, system taryf gwarantowanych FiT/FiP).</w:t>
      </w:r>
    </w:p>
    <w:p w14:paraId="1206BFB7" w14:textId="5F4EA416" w:rsidR="000826FD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Dla biogazu rolniczego rejestr wytwórców prowadzi </w:t>
      </w:r>
      <w:r>
        <w:rPr>
          <w:rFonts w:ascii="Google Sans Text" w:eastAsia="Google Sans Text" w:hAnsi="Google Sans Text" w:cs="Google Sans Text"/>
          <w:b/>
          <w:color w:val="1B1C1D"/>
        </w:rPr>
        <w:t>Dyrektor Generalny Krajowego Ośrodka Wsparcia Rolnictwa (KOWR)</w:t>
      </w:r>
      <w:r>
        <w:rPr>
          <w:rFonts w:ascii="Google Sans Text" w:eastAsia="Google Sans Text" w:hAnsi="Google Sans Text" w:cs="Google Sans Text"/>
          <w:color w:val="1B1C1D"/>
        </w:rPr>
        <w:t xml:space="preserve"> (na podstawie art. 23 ustawy o OZE).</w:t>
      </w:r>
    </w:p>
    <w:p w14:paraId="27F585A8" w14:textId="36F775C6" w:rsidR="000826FD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Ustawa o ułatwieniach (Art. 17 pkt 2) wprowadza wymóg wskazania we wniosku o wpis do rejestru KOWR, czy podmiot realizował inwestycję zgodnie z tą ustawą. Złożenie fałszywego oświadczenia w tej kwestii może skutkować wykreśleniem z rejestru (Art. 17 pkt 3).</w:t>
      </w:r>
    </w:p>
    <w:p w14:paraId="11153E06" w14:textId="77777777" w:rsidR="000826FD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Bieżące obowiązki formalno-prawne:</w:t>
      </w:r>
    </w:p>
    <w:p w14:paraId="76F9244C" w14:textId="3E49AE1A" w:rsidR="000826FD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Ewidencja odpadów w BDO</w:t>
      </w:r>
      <w:r>
        <w:rPr>
          <w:rFonts w:ascii="Google Sans Text" w:eastAsia="Google Sans Text" w:hAnsi="Google Sans Text" w:cs="Google Sans Text"/>
          <w:color w:val="1B1C1D"/>
        </w:rPr>
        <w:t xml:space="preserve"> (Bazie Danych Odpadowych), jeśli poferment lub inne substancje są traktowane jako odpady.</w:t>
      </w:r>
    </w:p>
    <w:p w14:paraId="4EF279AF" w14:textId="6908D0C6" w:rsidR="000826FD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Raportowanie</w:t>
      </w:r>
      <w:r>
        <w:rPr>
          <w:rFonts w:ascii="Google Sans Text" w:eastAsia="Google Sans Text" w:hAnsi="Google Sans Text" w:cs="Google Sans Text"/>
          <w:color w:val="1B1C1D"/>
        </w:rPr>
        <w:t xml:space="preserve"> do Urzędu Regulacji Energetyki (URE) lub KOWR (w zależności od systemu wsparcia i rodzaju działalności).</w:t>
      </w:r>
    </w:p>
    <w:p w14:paraId="47331500" w14:textId="3ACD1085" w:rsidR="000826FD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Przestrzeganie warunków określonych w uzyskanych pozwoleniach i decyzjach (np. DUŚ, PnB, pozwolenie zintegrowane, pozwolenia wodnoprawne, zezwolenie R10).</w:t>
      </w:r>
    </w:p>
    <w:p w14:paraId="0DB98675" w14:textId="62B3BD71" w:rsidR="000826FD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Prowadzenie </w:t>
      </w:r>
      <w:r>
        <w:rPr>
          <w:rFonts w:ascii="Google Sans Text" w:eastAsia="Google Sans Text" w:hAnsi="Google Sans Text" w:cs="Google Sans Text"/>
          <w:b/>
          <w:color w:val="1B1C1D"/>
        </w:rPr>
        <w:t>monitoringu środowiskowego</w:t>
      </w:r>
      <w:r>
        <w:rPr>
          <w:rFonts w:ascii="Google Sans Text" w:eastAsia="Google Sans Text" w:hAnsi="Google Sans Text" w:cs="Google Sans Text"/>
          <w:color w:val="1B1C1D"/>
        </w:rPr>
        <w:t>, jeśli został nałożony w decyzji DUŚ.</w:t>
      </w:r>
    </w:p>
    <w:p w14:paraId="2167E7BC" w14:textId="7919F6CA" w:rsidR="000826FD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Realizacja obowiązkowych </w:t>
      </w:r>
      <w:r>
        <w:rPr>
          <w:rFonts w:ascii="Google Sans Text" w:eastAsia="Google Sans Text" w:hAnsi="Google Sans Text" w:cs="Google Sans Text"/>
          <w:b/>
          <w:color w:val="1B1C1D"/>
        </w:rPr>
        <w:t>przeglądów technicznych</w:t>
      </w:r>
      <w:r>
        <w:rPr>
          <w:rFonts w:ascii="Google Sans Text" w:eastAsia="Google Sans Text" w:hAnsi="Google Sans Text" w:cs="Google Sans Text"/>
          <w:color w:val="1B1C1D"/>
        </w:rPr>
        <w:t xml:space="preserve"> (np. urządzeń podlegających dozorowi UDT, przeglądy budowlane obiektów).</w:t>
      </w:r>
    </w:p>
    <w:p w14:paraId="2A31D7BD" w14:textId="34BDB048" w:rsidR="000826FD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Składanie wymaganych </w:t>
      </w:r>
      <w:r>
        <w:rPr>
          <w:rFonts w:ascii="Google Sans Text" w:eastAsia="Google Sans Text" w:hAnsi="Google Sans Text" w:cs="Google Sans Text"/>
          <w:b/>
          <w:color w:val="1B1C1D"/>
        </w:rPr>
        <w:t>sprawozdań</w:t>
      </w:r>
      <w:r>
        <w:rPr>
          <w:rFonts w:ascii="Google Sans Text" w:eastAsia="Google Sans Text" w:hAnsi="Google Sans Text" w:cs="Google Sans Text"/>
          <w:color w:val="1B1C1D"/>
        </w:rPr>
        <w:t xml:space="preserve"> (np. do Głównego Urzędu Statystycznego - GUS, do Krajowego Ośrodka Bilansowania i Zarządzania Emisjami - KOBiZE).</w:t>
      </w:r>
    </w:p>
    <w:p w14:paraId="552E293A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19. Faza Eksploatacji: Ograniczenia z Ustawy o Ułatwieniach (Art. 7-8)</w:t>
      </w:r>
    </w:p>
    <w:p w14:paraId="66F07F6B" w14:textId="2DF267FB" w:rsidR="000826FD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Ustawa o ułatwieniach wprowadza istotne ograniczenia dla podmiotów, które skorzystały z jej przepisów przy realizacji inwestycji, obowiązujące przez </w:t>
      </w:r>
      <w:r>
        <w:rPr>
          <w:rFonts w:ascii="Google Sans Text" w:eastAsia="Google Sans Text" w:hAnsi="Google Sans Text" w:cs="Google Sans Text"/>
          <w:b/>
          <w:color w:val="1B1C1D"/>
        </w:rPr>
        <w:t>5 lat</w:t>
      </w:r>
      <w:r>
        <w:rPr>
          <w:rFonts w:ascii="Google Sans Text" w:eastAsia="Google Sans Text" w:hAnsi="Google Sans Text" w:cs="Google Sans Text"/>
          <w:color w:val="1B1C1D"/>
        </w:rPr>
        <w:t xml:space="preserve"> od uzyskania pozwolenia na użytkowanie (lub równoważnego zdarzenia):</w:t>
      </w:r>
    </w:p>
    <w:p w14:paraId="3355148C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Zakaz zbywania (Art. 7 ust. 2):</w:t>
      </w:r>
    </w:p>
    <w:p w14:paraId="62020F2E" w14:textId="25FC5152" w:rsidR="000826FD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Zakaz zbywania (przenoszenia własności, użytkowania wieczystego, udziałów) całości lub części nieruchomości, na której zlokalizowana jest biogazownia, oraz samej biogazowni (lub jej części, a także udziałów/akcji w spółce będącej inwestorem) podmiotom innym niż podmioty uprawnione (wymienione w art. 3 ust. 1 ustawy) (109). Obejmuje to również oddanie w użytkowanie, dzierżawę, najem itp. Naruszenie tego zakazu skutkuje nieważnością czynności prawnej (Art. 7 ust. 2).</w:t>
      </w:r>
    </w:p>
    <w:p w14:paraId="040D4D21" w14:textId="627B1FC4" w:rsidR="000826FD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Wyjątek od zakazu zbywania:</w:t>
      </w:r>
      <w:r>
        <w:rPr>
          <w:rFonts w:ascii="Google Sans Text" w:eastAsia="Google Sans Text" w:hAnsi="Google Sans Text" w:cs="Google Sans Text"/>
          <w:color w:val="1B1C1D"/>
        </w:rPr>
        <w:t xml:space="preserve"> Ustanowienie zabezpieczenia spłaty wierzytelności banku lub innej instytucji finansującej budowę lub funkcjonowanie biogazowni (Art. 7 ust. 2).</w:t>
      </w:r>
    </w:p>
    <w:p w14:paraId="0D54904E" w14:textId="77777777" w:rsidR="000826FD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Zakaz prowadzenia innej działalności (Art. 7 ust. 1):</w:t>
      </w:r>
    </w:p>
    <w:p w14:paraId="0030C559" w14:textId="3E0204EA" w:rsidR="000826FD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Zakaz prowadzenia w biogazowni innej działalności niż polegająca na wytwarzaniu biogazu rolniczego, energii elektrycznej z biogazu rolniczego, ciepła z biogazu rolniczego lub biometanu z biogazu rolniczego.</w:t>
      </w:r>
    </w:p>
    <w:p w14:paraId="6A0FA5F8" w14:textId="77777777" w:rsidR="000826FD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Konsekwencje utraty statusu podmiotu uprawnionego w okresie 5 lat:</w:t>
      </w:r>
    </w:p>
    <w:p w14:paraId="755F159A" w14:textId="22504826" w:rsidR="000826FD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Obowiązek poinformowania Dyrektora Generalnego KOWR w terminie </w:t>
      </w:r>
      <w:r>
        <w:rPr>
          <w:rFonts w:ascii="Google Sans Text" w:eastAsia="Google Sans Text" w:hAnsi="Google Sans Text" w:cs="Google Sans Text"/>
          <w:b/>
          <w:color w:val="1B1C1D"/>
        </w:rPr>
        <w:t>30 dni</w:t>
      </w:r>
      <w:r>
        <w:rPr>
          <w:rFonts w:ascii="Google Sans Text" w:eastAsia="Google Sans Text" w:hAnsi="Google Sans Text" w:cs="Google Sans Text"/>
          <w:color w:val="1B1C1D"/>
        </w:rPr>
        <w:t xml:space="preserve"> (Art. 7 ust. 3 pkt 1). Niewykonanie tego obowiązku podlega karze pieniężnej w wysokości </w:t>
      </w:r>
      <w:r>
        <w:rPr>
          <w:rFonts w:ascii="Google Sans Text" w:eastAsia="Google Sans Text" w:hAnsi="Google Sans Text" w:cs="Google Sans Text"/>
          <w:b/>
          <w:color w:val="1B1C1D"/>
        </w:rPr>
        <w:t>10 000 zł</w:t>
      </w:r>
      <w:r>
        <w:rPr>
          <w:rFonts w:ascii="Google Sans Text" w:eastAsia="Google Sans Text" w:hAnsi="Google Sans Text" w:cs="Google Sans Text"/>
          <w:color w:val="1B1C1D"/>
        </w:rPr>
        <w:t xml:space="preserve"> (Art. 8).</w:t>
      </w:r>
    </w:p>
    <w:p w14:paraId="5BCC9C7F" w14:textId="319929A8" w:rsidR="000826FD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Dyrektor Generalny KOWR wyznacza termin (nie dłuższy niż 12 miesięcy, z możliwością jednokrotnego przedłużenia o kolejne 12 miesięcy) na powierzenie wykonywania działalności w biogazowni innemu podmiotowi uprawnionemu (Art. 7 ust. 3 pkt 2, ust. 4).</w:t>
      </w:r>
    </w:p>
    <w:p w14:paraId="539C8F2C" w14:textId="076CF03F" w:rsidR="000826FD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Niedotrzymanie tego terminu skutkuje </w:t>
      </w:r>
      <w:r>
        <w:rPr>
          <w:rFonts w:ascii="Google Sans Text" w:eastAsia="Google Sans Text" w:hAnsi="Google Sans Text" w:cs="Google Sans Text"/>
          <w:b/>
          <w:color w:val="1B1C1D"/>
        </w:rPr>
        <w:t>wykreśleniem</w:t>
      </w:r>
      <w:r>
        <w:rPr>
          <w:rFonts w:ascii="Google Sans Text" w:eastAsia="Google Sans Text" w:hAnsi="Google Sans Text" w:cs="Google Sans Text"/>
          <w:color w:val="1B1C1D"/>
        </w:rPr>
        <w:t xml:space="preserve"> podmiotu z rejestru wytwórców biogazu rolniczego przez Dyrektora Generalnego KOWR (Art. 7 ust. 5).</w:t>
      </w:r>
    </w:p>
    <w:p w14:paraId="382D7F6C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20. Kluczowe Procedury: Gospodarka </w:t>
      </w:r>
      <w:r>
        <w:rPr>
          <w:rFonts w:ascii="Google Sans" w:eastAsia="Google Sans" w:hAnsi="Google Sans" w:cs="Google Sans"/>
          <w:color w:val="1B1C1D"/>
        </w:rPr>
        <w:lastRenderedPageBreak/>
        <w:t>Odpadami (BDO i R10)</w:t>
      </w:r>
    </w:p>
    <w:p w14:paraId="447E366A" w14:textId="77777777" w:rsidR="000826FD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BDO (Baza Danych Odpadowych):</w:t>
      </w:r>
    </w:p>
    <w:p w14:paraId="38FA54BA" w14:textId="3936CFDC" w:rsidR="000826FD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Rejestracja w systemie BDO i prowadzenie elektronicznej ewidencji odpadów to obowiązek dla niemal każdego podmiotu wytwarzającego odpady (inne niż komunalne) lub przetwarzającego odpady. Dotyczy to również biogazowni, jeśli np. poferment jest traktowany jako odpad.</w:t>
      </w:r>
    </w:p>
    <w:p w14:paraId="769143B3" w14:textId="7CB31757" w:rsidR="000826FD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System wymaga regularnego wprowadzania danych dotyczących wytwarzanych, transportowanych i przetwarzanych odpadów (za pomocą Kart Przekazania Odpadów - KPO oraz Kart Ewidencji Odpadów - KEO) oraz składania rocznych sprawozdań o wytworzonych odpadach i gospodarowaniu nimi.</w:t>
      </w:r>
    </w:p>
    <w:p w14:paraId="3DDF2BF4" w14:textId="33FD16BE" w:rsidR="000826FD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Nieprzestrzeganie obowiązków związanych z BDO (brak rejestracji, nieprowadzenie ewidencji, nierzetelne dane) jest zagrożone wysokimi karami pieniężnymi nakładanymi przez Wojewódzkiego Inspektora Ochrony Środowiska (WIOŚ).</w:t>
      </w:r>
    </w:p>
    <w:p w14:paraId="35A60848" w14:textId="77777777" w:rsidR="000826FD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R10 (Odzysk odpadów na powierzchni ziemi przynoszący korzyści dla rolnictwa lub poprawę stanu środowiska):</w:t>
      </w:r>
    </w:p>
    <w:p w14:paraId="3D98876D" w14:textId="7995B56F" w:rsidR="000826FD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Jest to jedna z metod przetwarzania odpadów (w tym pofermentu), polegająca na ich rolniczym wykorzystaniu.</w:t>
      </w:r>
    </w:p>
    <w:p w14:paraId="1F902F33" w14:textId="5DC58F0D" w:rsidR="000826FD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Prowadzenie odzysku R10 wymaga uzyskania zezwolenia wydawanego przez starostę lub marszałka województwa (w zależności od skali i rodzaju działalności).</w:t>
      </w:r>
    </w:p>
    <w:p w14:paraId="796F7FC1" w14:textId="38832BF0" w:rsidR="000826FD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Zezwolenie R10 nakłada na posiadacza szereg obowiązków, dotyczących m.in. konieczności prowadzenia badań jakości odpadów i gleby, przestrzegania limitów stosowania (np. maksymalna roczna dawka azotu </w:t>
      </w:r>
      <w:r>
        <w:rPr>
          <w:rFonts w:ascii="Google Sans Text" w:eastAsia="Google Sans Text" w:hAnsi="Google Sans Text" w:cs="Google Sans Text"/>
          <w:b/>
          <w:color w:val="1B1C1D"/>
        </w:rPr>
        <w:t>170 kg N/ha</w:t>
      </w:r>
      <w:r>
        <w:rPr>
          <w:rFonts w:ascii="Google Sans Text" w:eastAsia="Google Sans Text" w:hAnsi="Google Sans Text" w:cs="Google Sans Text"/>
          <w:color w:val="1B1C1D"/>
        </w:rPr>
        <w:t>), przestrzegania terminów aplikacji (zakaz stosowania zimą), prowadzenia ewidencji zastosowanych odpadów.</w:t>
      </w:r>
    </w:p>
    <w:p w14:paraId="45851336" w14:textId="058D487D" w:rsidR="000826FD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Szczegółowe warunki prowadzenia procesu odzysku R10 dla różnych rodzajów odpadów (w tym pofermentu) określa Rozporządzenie Ministra Środowiska w sprawie procesu odzysku R10.</w:t>
      </w:r>
    </w:p>
    <w:p w14:paraId="1D3EE173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21. Kluczowe Procedury: Zarządzanie Pofermentem - Porównanie Ścieżek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0826FD" w14:paraId="263F0D80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5BC2A9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Ścieżka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47849E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Wymogi kluczowe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B77637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Zalety / Wady</w:t>
            </w:r>
          </w:p>
        </w:tc>
      </w:tr>
      <w:tr w:rsidR="000826FD" w14:paraId="33B8A606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F5A22B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1. R10 (Odpad)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5B2E13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Zezwolenie na przetwarzanie odpadów,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BDO, KPO, warunki Rozp. R10, badania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0382AB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Pełen reżim odpadowy, nadzór WIOŚ / Umożliwia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wykorzystanie rolnicze każdego pofermentu</w:t>
            </w:r>
          </w:p>
        </w:tc>
      </w:tr>
      <w:tr w:rsidR="000826FD" w14:paraId="636AB9E6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C60E18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2. Produkt Uboczny (Art. 10 UoO)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17875C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Zgłoszenie do marszałka, spełnienie 5 warunków, opinia WIOŚ, brak sprzeciwu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B0A9B1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Upraszcza obrót, brak reżimu odpadowego / Status czasowy, ograniczony ilościowo, niepewny</w:t>
            </w:r>
          </w:p>
        </w:tc>
      </w:tr>
      <w:tr w:rsidR="000826FD" w14:paraId="74128BBC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6A9B27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3. Nawóz Certyfikowany (UoNiN)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CEDE8A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Pozwolenie MRiRW, badania, opinie wielu instytutów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3C36E3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Daje pełnowartościowy produkt rynkowy / Proces długi (ok. 10 mies.), kosztowny</w:t>
            </w:r>
          </w:p>
        </w:tc>
      </w:tr>
      <w:tr w:rsidR="000826FD" w14:paraId="1B2F347D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87B372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4. Produkt Pofermentacyjny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FBD18A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Tylko substraty z listy (Rozp. 12.10.2023), informacja do PIORiN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A26CA8" w14:textId="77777777" w:rsidR="000826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Najprostsza ścieżka formalna / Tylko dla ściśle określonych substratów, wymogi jakościowe</w:t>
            </w:r>
          </w:p>
        </w:tc>
      </w:tr>
    </w:tbl>
    <w:p w14:paraId="7CFD4F83" w14:textId="77777777" w:rsidR="000826FD" w:rsidRDefault="00000000">
      <w:pPr>
        <w:pStyle w:val="Nagwek1"/>
        <w:spacing w:before="48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22. Kluczowe Procedury: Nadzór Weterynaryjny (przy UPPZ)</w:t>
      </w:r>
    </w:p>
    <w:p w14:paraId="1CE045F5" w14:textId="3CA90393" w:rsidR="000826FD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Stosowanie </w:t>
      </w:r>
      <w:r>
        <w:rPr>
          <w:rFonts w:ascii="Google Sans Text" w:eastAsia="Google Sans Text" w:hAnsi="Google Sans Text" w:cs="Google Sans Text"/>
          <w:b/>
          <w:color w:val="1B1C1D"/>
        </w:rPr>
        <w:t>Ubocznych Produktów Pochodzenia Zwierzęcego (UPPZ)</w:t>
      </w:r>
      <w:r>
        <w:rPr>
          <w:rFonts w:ascii="Google Sans Text" w:eastAsia="Google Sans Text" w:hAnsi="Google Sans Text" w:cs="Google Sans Text"/>
          <w:color w:val="1B1C1D"/>
        </w:rPr>
        <w:t xml:space="preserve"> kategorii 2 i 3 (np. treści żołądkowe, odpady poubojowe, gastronomiczne) jako substratów do biogazowni podlega ścisłemu nadzorowi weterynaryjnemu.</w:t>
      </w:r>
    </w:p>
    <w:p w14:paraId="62E89B19" w14:textId="0513CC24" w:rsidR="000826FD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Podstawą prawną są przepisy Rozporządzenia Parlamentu Europejskiego i Rady (WE) nr 1069/2009 oraz aktów wykonawczych.</w:t>
      </w:r>
    </w:p>
    <w:p w14:paraId="1092F8C8" w14:textId="77777777" w:rsidR="000826FD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Główne wymagania:</w:t>
      </w:r>
    </w:p>
    <w:p w14:paraId="715EDD4E" w14:textId="1B3EEDD1" w:rsidR="000826FD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Uzyskanie </w:t>
      </w:r>
      <w:r>
        <w:rPr>
          <w:rFonts w:ascii="Google Sans Text" w:eastAsia="Google Sans Text" w:hAnsi="Google Sans Text" w:cs="Google Sans Text"/>
          <w:b/>
          <w:color w:val="1B1C1D"/>
        </w:rPr>
        <w:t>zatwierdzenia zakładu (biogazowni)</w:t>
      </w:r>
      <w:r>
        <w:rPr>
          <w:rFonts w:ascii="Google Sans Text" w:eastAsia="Google Sans Text" w:hAnsi="Google Sans Text" w:cs="Google Sans Text"/>
          <w:color w:val="1B1C1D"/>
        </w:rPr>
        <w:t xml:space="preserve"> przez </w:t>
      </w:r>
      <w:r>
        <w:rPr>
          <w:rFonts w:ascii="Google Sans Text" w:eastAsia="Google Sans Text" w:hAnsi="Google Sans Text" w:cs="Google Sans Text"/>
          <w:b/>
          <w:color w:val="1B1C1D"/>
        </w:rPr>
        <w:t>Powiatowego Lekarza Weterynarii (PLW)</w:t>
      </w:r>
      <w:r>
        <w:rPr>
          <w:rFonts w:ascii="Google Sans Text" w:eastAsia="Google Sans Text" w:hAnsi="Google Sans Text" w:cs="Google Sans Text"/>
          <w:color w:val="1B1C1D"/>
        </w:rPr>
        <w:t xml:space="preserve"> do przetwarzania UPPZ</w:t>
      </w:r>
      <w:r w:rsidR="00B42463">
        <w:rPr>
          <w:rFonts w:ascii="Google Sans Text" w:eastAsia="Google Sans Text" w:hAnsi="Google Sans Text" w:cs="Google Sans Text"/>
          <w:color w:val="1B1C1D"/>
        </w:rPr>
        <w:t>.</w:t>
      </w:r>
    </w:p>
    <w:p w14:paraId="5F5CF291" w14:textId="0F3A6CE2" w:rsidR="000826FD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Opracowanie i wdrożenie systemu </w:t>
      </w:r>
      <w:r>
        <w:rPr>
          <w:rFonts w:ascii="Google Sans Text" w:eastAsia="Google Sans Text" w:hAnsi="Google Sans Text" w:cs="Google Sans Text"/>
          <w:b/>
          <w:color w:val="1B1C1D"/>
        </w:rPr>
        <w:t>HACCP</w:t>
      </w:r>
      <w:r>
        <w:rPr>
          <w:rFonts w:ascii="Google Sans Text" w:eastAsia="Google Sans Text" w:hAnsi="Google Sans Text" w:cs="Google Sans Text"/>
          <w:color w:val="1B1C1D"/>
        </w:rPr>
        <w:t xml:space="preserve"> (Analiza Zagrożeń i Krytyczne Punkty Kontroli) w celu zapewnienia bezpieczeństwa sanitarnego procesu.</w:t>
      </w:r>
    </w:p>
    <w:p w14:paraId="0BD2A0FC" w14:textId="3494F6CA" w:rsidR="000826FD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Wdrożenie skutecznego programu zwalczania szkodników (gryzoni, owadów).</w:t>
      </w:r>
    </w:p>
    <w:p w14:paraId="2A76A423" w14:textId="1F23F968" w:rsidR="000826FD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Zapewnienie i monitorowanie parametrów procesu </w:t>
      </w:r>
      <w:r>
        <w:rPr>
          <w:rFonts w:ascii="Google Sans Text" w:eastAsia="Google Sans Text" w:hAnsi="Google Sans Text" w:cs="Google Sans Text"/>
          <w:b/>
          <w:color w:val="1B1C1D"/>
        </w:rPr>
        <w:t>higienizacji</w:t>
      </w:r>
      <w:r>
        <w:rPr>
          <w:rFonts w:ascii="Google Sans Text" w:eastAsia="Google Sans Text" w:hAnsi="Google Sans Text" w:cs="Google Sans Text"/>
          <w:color w:val="1B1C1D"/>
        </w:rPr>
        <w:t xml:space="preserve"> (np. temperatura min. 70°C przez co najmniej 60 minut), jeśli jest ona wymagana dla danego rodzaju UPPZ. Konieczne jest posiadanie urządzeń rejestrujących i dokumentowanie przebiegu procesu.</w:t>
      </w:r>
    </w:p>
    <w:p w14:paraId="24839C39" w14:textId="054F5CF0" w:rsidR="000826F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Cel:</w:t>
      </w:r>
      <w:r>
        <w:rPr>
          <w:rFonts w:ascii="Google Sans Text" w:eastAsia="Google Sans Text" w:hAnsi="Google Sans Text" w:cs="Google Sans Text"/>
          <w:color w:val="1B1C1D"/>
        </w:rPr>
        <w:t xml:space="preserve"> Zapobieganiu rozprzestrzenianiu się chorób zakaźnych zwierząt i zapewnienie bezpieczeństwa sanitarnego.</w:t>
      </w:r>
    </w:p>
    <w:p w14:paraId="680CF173" w14:textId="77777777" w:rsidR="000826FD" w:rsidRDefault="00000000">
      <w:pPr>
        <w:pStyle w:val="Nagwek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23. Współpraca z Instytucjami: Klucz do Sukcesu</w:t>
      </w:r>
    </w:p>
    <w:p w14:paraId="5397B233" w14:textId="77777777" w:rsidR="000826FD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Skuteczne i sprawne przejście przez proces formalno-prawny wymaga nie tylko znajomości przepisów, ale także umiejętności współpracy z urzędami:</w:t>
      </w:r>
    </w:p>
    <w:p w14:paraId="7D9C3E2B" w14:textId="07795185" w:rsidR="000826FD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Proaktywna komunikacja:</w:t>
      </w:r>
      <w:r>
        <w:rPr>
          <w:rFonts w:ascii="Google Sans Text" w:eastAsia="Google Sans Text" w:hAnsi="Google Sans Text" w:cs="Google Sans Text"/>
          <w:color w:val="1B1C1D"/>
        </w:rPr>
        <w:t xml:space="preserve"> Zaleca się wczesny kontakt z kluczowymi urzędami (gmina, starostwo, RDOŚ, OSD itp.), informowanie o planach inwestycyjnych i zadawanie pytań w celu wyjaśnienia wątpliwości.</w:t>
      </w:r>
    </w:p>
    <w:p w14:paraId="6E09EA2F" w14:textId="67466103" w:rsidR="000826FD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Kompletność wniosków:</w:t>
      </w:r>
      <w:r>
        <w:rPr>
          <w:rFonts w:ascii="Google Sans Text" w:eastAsia="Google Sans Text" w:hAnsi="Google Sans Text" w:cs="Google Sans Text"/>
          <w:color w:val="1B1C1D"/>
        </w:rPr>
        <w:t xml:space="preserve"> Składanie starannie przygotowanej i kompletnej dokumentacji znacząco przyspiesza postępowanie administracyjne.</w:t>
      </w:r>
    </w:p>
    <w:p w14:paraId="0D6A02F1" w14:textId="521847EA" w:rsidR="000826FD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Terminowość:</w:t>
      </w:r>
      <w:r>
        <w:rPr>
          <w:rFonts w:ascii="Google Sans Text" w:eastAsia="Google Sans Text" w:hAnsi="Google Sans Text" w:cs="Google Sans Text"/>
          <w:color w:val="1B1C1D"/>
        </w:rPr>
        <w:t xml:space="preserve"> Należy bezwzględnie przestrzegać terminów wyznaczanych przez urzędy na uzupełnienie dokumentacji czy udzielenie wyjaśnień.</w:t>
      </w:r>
    </w:p>
    <w:p w14:paraId="36FF8063" w14:textId="756F8A67" w:rsidR="000826FD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Transparentność:</w:t>
      </w:r>
      <w:r>
        <w:rPr>
          <w:rFonts w:ascii="Google Sans Text" w:eastAsia="Google Sans Text" w:hAnsi="Google Sans Text" w:cs="Google Sans Text"/>
          <w:color w:val="1B1C1D"/>
        </w:rPr>
        <w:t xml:space="preserve"> Otwartość na uwagi, zwłaszcza w kwestiach środowiskowych i społecznych, oraz gotowość do przedstawienia projektu lokalnej społeczności mogą pomóc w budowaniu akceptacji i uniknięciu konfliktów.</w:t>
      </w:r>
    </w:p>
    <w:p w14:paraId="02ED2F95" w14:textId="1B8BACEB" w:rsidR="000826FD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Korzystanie z doradców:</w:t>
      </w:r>
      <w:r>
        <w:rPr>
          <w:rFonts w:ascii="Google Sans Text" w:eastAsia="Google Sans Text" w:hAnsi="Google Sans Text" w:cs="Google Sans Text"/>
          <w:color w:val="1B1C1D"/>
        </w:rPr>
        <w:t xml:space="preserve"> Wsparcie doświadczonych doradców (prawnych, technicznych, środowiskowych) jest często niezbędne do prawidłowego przygotowania dokumentacji i przejścia przez skomplikowane procedury.</w:t>
      </w:r>
    </w:p>
    <w:p w14:paraId="604723E5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24. Podsumowanie: 10 Złotych Zasad Sprawnego Procesu Inwestycyjnego</w:t>
      </w:r>
    </w:p>
    <w:p w14:paraId="2438EDF3" w14:textId="6D492AE4" w:rsidR="000826F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Dobra Lokalizacja to Mniej Problemów:</w:t>
      </w:r>
      <w:r>
        <w:rPr>
          <w:rFonts w:ascii="Google Sans Text" w:eastAsia="Google Sans Text" w:hAnsi="Google Sans Text" w:cs="Google Sans Text"/>
          <w:color w:val="1B1C1D"/>
        </w:rPr>
        <w:t xml:space="preserve"> Wybór zgodny z planowaniem przestrzennym, z dala od zabudowy.</w:t>
      </w:r>
    </w:p>
    <w:p w14:paraId="370D4105" w14:textId="6223A4D8" w:rsidR="000826F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DUŚ to Klucz:</w:t>
      </w:r>
      <w:r>
        <w:rPr>
          <w:rFonts w:ascii="Google Sans Text" w:eastAsia="Google Sans Text" w:hAnsi="Google Sans Text" w:cs="Google Sans Text"/>
          <w:color w:val="1B1C1D"/>
        </w:rPr>
        <w:t xml:space="preserve"> Uzyskaj ją wcześnie, określi warunki .</w:t>
      </w:r>
    </w:p>
    <w:p w14:paraId="12842A12" w14:textId="45DE5E4B" w:rsidR="000826F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Poznaj Ułatwienia (i Ograniczenia) Ustawy 2023:</w:t>
      </w:r>
      <w:r>
        <w:rPr>
          <w:rFonts w:ascii="Google Sans Text" w:eastAsia="Google Sans Text" w:hAnsi="Google Sans Text" w:cs="Google Sans Text"/>
          <w:color w:val="1B1C1D"/>
        </w:rPr>
        <w:t xml:space="preserve"> Skorzystaj z przyspieszeń, pamiętaj o warunkach i zakazach.</w:t>
      </w:r>
    </w:p>
    <w:p w14:paraId="734EB26D" w14:textId="308047BF" w:rsidR="000826F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Zaplanuj Zarządzanie Pofermentem:</w:t>
      </w:r>
      <w:r>
        <w:rPr>
          <w:rFonts w:ascii="Google Sans Text" w:eastAsia="Google Sans Text" w:hAnsi="Google Sans Text" w:cs="Google Sans Text"/>
          <w:color w:val="1B1C1D"/>
        </w:rPr>
        <w:t xml:space="preserve"> Wybierz świadomie ścieżkę formalną (R10, produkt uboczny, nawóz, produkt pofermentacyjny).</w:t>
      </w:r>
    </w:p>
    <w:p w14:paraId="2D200126" w14:textId="3DBD62F0" w:rsidR="000826F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BDO to Obowiązek (zazwyczaj):</w:t>
      </w:r>
      <w:r>
        <w:rPr>
          <w:rFonts w:ascii="Google Sans Text" w:eastAsia="Google Sans Text" w:hAnsi="Google Sans Text" w:cs="Google Sans Text"/>
          <w:color w:val="1B1C1D"/>
        </w:rPr>
        <w:t xml:space="preserve"> Zarejestruj się i prowadź ewidencję odpadów.</w:t>
      </w:r>
    </w:p>
    <w:p w14:paraId="3FD8EAE4" w14:textId="7A4E82B6" w:rsidR="000826F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Warunki Przyłączenia – Uzyskaj Wcześnie:</w:t>
      </w:r>
      <w:r>
        <w:rPr>
          <w:rFonts w:ascii="Google Sans Text" w:eastAsia="Google Sans Text" w:hAnsi="Google Sans Text" w:cs="Google Sans Text"/>
          <w:color w:val="1B1C1D"/>
        </w:rPr>
        <w:t xml:space="preserve"> Sprawdź dostępność mocy i koszty.</w:t>
      </w:r>
    </w:p>
    <w:p w14:paraId="7FB80FBB" w14:textId="0CA16DD2" w:rsidR="000826F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Kompletny Projekt Budowlany:</w:t>
      </w:r>
      <w:r>
        <w:rPr>
          <w:rFonts w:ascii="Google Sans Text" w:eastAsia="Google Sans Text" w:hAnsi="Google Sans Text" w:cs="Google Sans Text"/>
          <w:color w:val="1B1C1D"/>
        </w:rPr>
        <w:t xml:space="preserve"> Zgodny z decyzjami i przepisami.</w:t>
      </w:r>
    </w:p>
    <w:p w14:paraId="53407025" w14:textId="31234753" w:rsidR="000826F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Współpracuj z Urzędami:</w:t>
      </w:r>
      <w:r>
        <w:rPr>
          <w:rFonts w:ascii="Google Sans Text" w:eastAsia="Google Sans Text" w:hAnsi="Google Sans Text" w:cs="Google Sans Text"/>
          <w:color w:val="1B1C1D"/>
        </w:rPr>
        <w:t xml:space="preserve"> Komunikuj się proaktywnie i terminowo.</w:t>
      </w:r>
    </w:p>
    <w:p w14:paraId="6A1B14FA" w14:textId="09F6B3C7" w:rsidR="000826F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Nie Zapomnij o Weterynarii (przy UPPZ):</w:t>
      </w:r>
      <w:r>
        <w:rPr>
          <w:rFonts w:ascii="Google Sans Text" w:eastAsia="Google Sans Text" w:hAnsi="Google Sans Text" w:cs="Google Sans Text"/>
          <w:color w:val="1B1C1D"/>
        </w:rPr>
        <w:t xml:space="preserve"> Skontaktuj się z PLW odpowiednio wcześnie .</w:t>
      </w:r>
    </w:p>
    <w:p w14:paraId="2C00BD59" w14:textId="5AB7F09E" w:rsidR="000826F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Korzystaj z Doświadczonych Doradców:</w:t>
      </w:r>
      <w:r>
        <w:rPr>
          <w:rFonts w:ascii="Google Sans Text" w:eastAsia="Google Sans Text" w:hAnsi="Google Sans Text" w:cs="Google Sans Text"/>
          <w:color w:val="1B1C1D"/>
        </w:rPr>
        <w:t xml:space="preserve"> Wsparcie specjalistów minimalizuje ryzyko</w:t>
      </w:r>
      <w:r w:rsidR="00B42463">
        <w:rPr>
          <w:rFonts w:ascii="Google Sans Text" w:eastAsia="Google Sans Text" w:hAnsi="Google Sans Text" w:cs="Google Sans Text"/>
          <w:color w:val="1B1C1D"/>
        </w:rPr>
        <w:t>.</w:t>
      </w:r>
    </w:p>
    <w:p w14:paraId="336CC2D8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25. Szybki Quiz Kontrolny</w:t>
      </w:r>
    </w:p>
    <w:p w14:paraId="6E7BA531" w14:textId="77777777" w:rsidR="000826FD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Jakie są dwie główne ścieżki uzyskania zgody na lokalizację inwestycji w kontekście planowania przestrzennego?</w:t>
      </w:r>
    </w:p>
    <w:p w14:paraId="187D4901" w14:textId="77777777" w:rsidR="000826FD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Jaka decyzja administracyjna określa środowiskowe warunki realizacji przedsięwzięcia i jest wymagana przed PnB?</w:t>
      </w:r>
    </w:p>
    <w:p w14:paraId="19667D1D" w14:textId="77777777" w:rsidR="000826FD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Podaj kod odpadu dla ciekłego pofermentu i nazwę procesu odzysku polegającego na jego rolniczym wykorzystaniu.</w:t>
      </w:r>
    </w:p>
    <w:p w14:paraId="0BDA7B88" w14:textId="77777777" w:rsidR="000826FD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 urząd wydaje pozwolenie na budowę dla biogazowni rolniczej?</w:t>
      </w:r>
    </w:p>
    <w:p w14:paraId="57C1DA82" w14:textId="77777777" w:rsidR="000826FD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Która ustawa z 2023 roku wprowadziła ułatwienia, np. skrócone terminy wydawania decyzji WZ i PnB dla biogazowni rolniczych?</w:t>
      </w:r>
    </w:p>
    <w:p w14:paraId="42E89FB8" w14:textId="77777777" w:rsidR="000826FD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 jakiej bazie danych musi zarejestrować się podmiot wytwarzający poferment jako odpad?</w:t>
      </w:r>
    </w:p>
    <w:p w14:paraId="71441E4C" w14:textId="77777777" w:rsidR="000826FD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Uznanie pofermentu za co (zgodnie z art. 10 Ustawy o odpadach) zwalnia z obowiązku uzyskiwania zezwolenia na przetwarzanie odpadów?</w:t>
      </w:r>
    </w:p>
    <w:p w14:paraId="5D4B3C40" w14:textId="77777777" w:rsidR="000826FD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 długi jest (zgodnie z Ustawą o ułatwieniach) okres, w którym podmiot, który skorzystał z ułatwień, nie może zbyć biogazowni podmiotom innym niż uprawnione?</w:t>
      </w:r>
    </w:p>
    <w:p w14:paraId="2A5339CB" w14:textId="77777777" w:rsidR="000826FD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Rolnicze wykorzystanie pofermentu (niezależnie od ścieżki formalnej) limituje roczną dawkę azotu do ilu kg N/ha?</w:t>
      </w:r>
    </w:p>
    <w:p w14:paraId="55DCF2B7" w14:textId="77777777" w:rsidR="000826FD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Jaki system kontroli (skrót) jest wymagany przy przetwarzaniu UPPZ w biogazowni?</w:t>
      </w:r>
    </w:p>
    <w:p w14:paraId="18584BBF" w14:textId="77777777" w:rsidR="000826FD" w:rsidRDefault="00000000">
      <w:pPr>
        <w:pStyle w:val="Nagwek1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26. Zakończenie Modułu H</w:t>
      </w:r>
    </w:p>
    <w:p w14:paraId="0E5E9C22" w14:textId="77777777" w:rsidR="000826FD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Dziękuję za uwagę.</w:t>
      </w:r>
    </w:p>
    <w:p w14:paraId="5E986B3D" w14:textId="77777777" w:rsidR="000826FD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Pytania?</w:t>
      </w:r>
    </w:p>
    <w:sectPr w:rsidR="000826FD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" w:fontKey="{9441F649-B34A-46E9-B80A-FBBB760C7981}"/>
    <w:embedItalic r:id="rId2" w:fontKey="{7CE12488-2CD9-4B31-B610-13AD9DDD0ED0}"/>
  </w:font>
  <w:font w:name="Google Sans">
    <w:charset w:val="00"/>
    <w:family w:val="auto"/>
    <w:pitch w:val="default"/>
    <w:embedRegular r:id="rId3" w:fontKey="{62C4584F-AC0A-489F-8575-30873EFDE1CC}"/>
    <w:embedBold r:id="rId4" w:fontKey="{68D3FC1C-945E-4A51-B79F-BD8422A5F7F5}"/>
  </w:font>
  <w:font w:name="Google Sans Text">
    <w:charset w:val="00"/>
    <w:family w:val="auto"/>
    <w:pitch w:val="default"/>
    <w:embedRegular r:id="rId5" w:fontKey="{C4DAE6A1-1F60-41D0-94FE-6F4CB8604468}"/>
    <w:embedBold r:id="rId6" w:fontKey="{685FEA5D-8C79-45F1-AA19-934E45D3380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8A85335F-8F49-4339-AAEC-57394EBE657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8903E22F-8255-4179-BC1A-68885030445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5448"/>
    <w:multiLevelType w:val="multilevel"/>
    <w:tmpl w:val="366AE81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93D1357"/>
    <w:multiLevelType w:val="multilevel"/>
    <w:tmpl w:val="53D6CC8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CF545E6"/>
    <w:multiLevelType w:val="multilevel"/>
    <w:tmpl w:val="A342995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D9D0337"/>
    <w:multiLevelType w:val="multilevel"/>
    <w:tmpl w:val="03FACFD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387593B"/>
    <w:multiLevelType w:val="multilevel"/>
    <w:tmpl w:val="D164A78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4472BBB"/>
    <w:multiLevelType w:val="multilevel"/>
    <w:tmpl w:val="D3F275D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15045F0A"/>
    <w:multiLevelType w:val="multilevel"/>
    <w:tmpl w:val="AFC22F3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1A513B55"/>
    <w:multiLevelType w:val="multilevel"/>
    <w:tmpl w:val="C4684A4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A7667E9"/>
    <w:multiLevelType w:val="multilevel"/>
    <w:tmpl w:val="6214F0A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4DB6DF0"/>
    <w:multiLevelType w:val="multilevel"/>
    <w:tmpl w:val="AF8AC0F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69830C1"/>
    <w:multiLevelType w:val="multilevel"/>
    <w:tmpl w:val="F376AE0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37BA259F"/>
    <w:multiLevelType w:val="multilevel"/>
    <w:tmpl w:val="1286F8A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9F07209"/>
    <w:multiLevelType w:val="multilevel"/>
    <w:tmpl w:val="071C1E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3B4C03B6"/>
    <w:multiLevelType w:val="multilevel"/>
    <w:tmpl w:val="36B409D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3B945545"/>
    <w:multiLevelType w:val="multilevel"/>
    <w:tmpl w:val="23AC031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438C2084"/>
    <w:multiLevelType w:val="multilevel"/>
    <w:tmpl w:val="5122E58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47653A44"/>
    <w:multiLevelType w:val="multilevel"/>
    <w:tmpl w:val="F4F4CCB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49476919"/>
    <w:multiLevelType w:val="multilevel"/>
    <w:tmpl w:val="8604B67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4A9E60F3"/>
    <w:multiLevelType w:val="multilevel"/>
    <w:tmpl w:val="28BC39C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4BDB66E4"/>
    <w:multiLevelType w:val="multilevel"/>
    <w:tmpl w:val="0074CB1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4D0C0ACC"/>
    <w:multiLevelType w:val="multilevel"/>
    <w:tmpl w:val="D2769B7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4D376B55"/>
    <w:multiLevelType w:val="multilevel"/>
    <w:tmpl w:val="CBDC4B1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4F996F73"/>
    <w:multiLevelType w:val="multilevel"/>
    <w:tmpl w:val="BEE2609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5056363B"/>
    <w:multiLevelType w:val="multilevel"/>
    <w:tmpl w:val="8BE076F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515B4523"/>
    <w:multiLevelType w:val="multilevel"/>
    <w:tmpl w:val="49769F8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3326374"/>
    <w:multiLevelType w:val="multilevel"/>
    <w:tmpl w:val="43B6EE6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565B26C0"/>
    <w:multiLevelType w:val="multilevel"/>
    <w:tmpl w:val="90B6226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570D61FC"/>
    <w:multiLevelType w:val="multilevel"/>
    <w:tmpl w:val="9D02D07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5DD74393"/>
    <w:multiLevelType w:val="multilevel"/>
    <w:tmpl w:val="5DC85CA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5E0A6936"/>
    <w:multiLevelType w:val="multilevel"/>
    <w:tmpl w:val="233C0BD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5E175D07"/>
    <w:multiLevelType w:val="multilevel"/>
    <w:tmpl w:val="552027B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605F74E0"/>
    <w:multiLevelType w:val="multilevel"/>
    <w:tmpl w:val="24A4F4B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672545EF"/>
    <w:multiLevelType w:val="multilevel"/>
    <w:tmpl w:val="2CA2A77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6C346415"/>
    <w:multiLevelType w:val="multilevel"/>
    <w:tmpl w:val="92A438B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754A7154"/>
    <w:multiLevelType w:val="multilevel"/>
    <w:tmpl w:val="E424CCF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 w15:restartNumberingAfterBreak="0">
    <w:nsid w:val="76310A13"/>
    <w:multiLevelType w:val="multilevel"/>
    <w:tmpl w:val="4DDC601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759791144">
    <w:abstractNumId w:val="10"/>
  </w:num>
  <w:num w:numId="2" w16cid:durableId="482543907">
    <w:abstractNumId w:val="5"/>
  </w:num>
  <w:num w:numId="3" w16cid:durableId="1078676141">
    <w:abstractNumId w:val="12"/>
  </w:num>
  <w:num w:numId="4" w16cid:durableId="387070006">
    <w:abstractNumId w:val="11"/>
  </w:num>
  <w:num w:numId="5" w16cid:durableId="2097942617">
    <w:abstractNumId w:val="27"/>
  </w:num>
  <w:num w:numId="6" w16cid:durableId="1982034933">
    <w:abstractNumId w:val="9"/>
  </w:num>
  <w:num w:numId="7" w16cid:durableId="179121898">
    <w:abstractNumId w:val="17"/>
  </w:num>
  <w:num w:numId="8" w16cid:durableId="467624442">
    <w:abstractNumId w:val="24"/>
  </w:num>
  <w:num w:numId="9" w16cid:durableId="1270314537">
    <w:abstractNumId w:val="6"/>
  </w:num>
  <w:num w:numId="10" w16cid:durableId="1321232347">
    <w:abstractNumId w:val="8"/>
  </w:num>
  <w:num w:numId="11" w16cid:durableId="509373921">
    <w:abstractNumId w:val="22"/>
  </w:num>
  <w:num w:numId="12" w16cid:durableId="1521239222">
    <w:abstractNumId w:val="3"/>
  </w:num>
  <w:num w:numId="13" w16cid:durableId="1730692470">
    <w:abstractNumId w:val="18"/>
  </w:num>
  <w:num w:numId="14" w16cid:durableId="1297831787">
    <w:abstractNumId w:val="31"/>
  </w:num>
  <w:num w:numId="15" w16cid:durableId="573708262">
    <w:abstractNumId w:val="15"/>
  </w:num>
  <w:num w:numId="16" w16cid:durableId="835725335">
    <w:abstractNumId w:val="1"/>
  </w:num>
  <w:num w:numId="17" w16cid:durableId="1480263080">
    <w:abstractNumId w:val="21"/>
  </w:num>
  <w:num w:numId="18" w16cid:durableId="1049839495">
    <w:abstractNumId w:val="25"/>
  </w:num>
  <w:num w:numId="19" w16cid:durableId="1352729126">
    <w:abstractNumId w:val="14"/>
  </w:num>
  <w:num w:numId="20" w16cid:durableId="1416054696">
    <w:abstractNumId w:val="26"/>
  </w:num>
  <w:num w:numId="21" w16cid:durableId="1250119515">
    <w:abstractNumId w:val="19"/>
  </w:num>
  <w:num w:numId="22" w16cid:durableId="1023937158">
    <w:abstractNumId w:val="23"/>
  </w:num>
  <w:num w:numId="23" w16cid:durableId="61343114">
    <w:abstractNumId w:val="13"/>
  </w:num>
  <w:num w:numId="24" w16cid:durableId="45959189">
    <w:abstractNumId w:val="32"/>
  </w:num>
  <w:num w:numId="25" w16cid:durableId="2041198805">
    <w:abstractNumId w:val="2"/>
  </w:num>
  <w:num w:numId="26" w16cid:durableId="1470634828">
    <w:abstractNumId w:val="0"/>
  </w:num>
  <w:num w:numId="27" w16cid:durableId="2057966849">
    <w:abstractNumId w:val="4"/>
  </w:num>
  <w:num w:numId="28" w16cid:durableId="1273396975">
    <w:abstractNumId w:val="34"/>
  </w:num>
  <w:num w:numId="29" w16cid:durableId="239827080">
    <w:abstractNumId w:val="7"/>
  </w:num>
  <w:num w:numId="30" w16cid:durableId="704520171">
    <w:abstractNumId w:val="28"/>
  </w:num>
  <w:num w:numId="31" w16cid:durableId="1085615683">
    <w:abstractNumId w:val="16"/>
  </w:num>
  <w:num w:numId="32" w16cid:durableId="1044672412">
    <w:abstractNumId w:val="30"/>
  </w:num>
  <w:num w:numId="33" w16cid:durableId="304823266">
    <w:abstractNumId w:val="33"/>
  </w:num>
  <w:num w:numId="34" w16cid:durableId="1704017724">
    <w:abstractNumId w:val="29"/>
  </w:num>
  <w:num w:numId="35" w16cid:durableId="493646809">
    <w:abstractNumId w:val="20"/>
  </w:num>
  <w:num w:numId="36" w16cid:durableId="92815256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6FD"/>
    <w:rsid w:val="000826FD"/>
    <w:rsid w:val="001309C0"/>
    <w:rsid w:val="006C0F33"/>
    <w:rsid w:val="007440AA"/>
    <w:rsid w:val="0085665B"/>
    <w:rsid w:val="00A843E6"/>
    <w:rsid w:val="00B4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718C9"/>
  <w15:docId w15:val="{FDAC3050-AFFF-4AEE-AC58-5B233480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2D9F8-D549-4407-8DFC-1E287539D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3738</Words>
  <Characters>22428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Łukasz Rosik</cp:lastModifiedBy>
  <cp:revision>5</cp:revision>
  <dcterms:created xsi:type="dcterms:W3CDTF">2025-10-26T20:12:00Z</dcterms:created>
  <dcterms:modified xsi:type="dcterms:W3CDTF">2025-10-26T20:36:00Z</dcterms:modified>
</cp:coreProperties>
</file>